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5EA7" w14:textId="77777777" w:rsidR="008706DB" w:rsidRDefault="000A3F19">
      <w:r>
        <w:rPr>
          <w:noProof/>
          <w:lang w:val="en-AU" w:eastAsia="en-AU"/>
        </w:rPr>
        <w:drawing>
          <wp:anchor distT="0" distB="0" distL="114300" distR="114300" simplePos="0" relativeHeight="251668480" behindDoc="1" locked="0" layoutInCell="1" allowOverlap="1" wp14:anchorId="157569B4" wp14:editId="06B1FCC6">
            <wp:simplePos x="0" y="0"/>
            <wp:positionH relativeFrom="page">
              <wp:posOffset>4514851</wp:posOffset>
            </wp:positionH>
            <wp:positionV relativeFrom="page">
              <wp:posOffset>390525</wp:posOffset>
            </wp:positionV>
            <wp:extent cx="3243432" cy="223265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43432" cy="22326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5189">
        <w:rPr>
          <w:noProof/>
          <w:lang w:val="en-AU" w:eastAsia="en-AU"/>
        </w:rPr>
        <mc:AlternateContent>
          <mc:Choice Requires="wps">
            <w:drawing>
              <wp:anchor distT="45720" distB="45720" distL="114300" distR="114300" simplePos="0" relativeHeight="251661312" behindDoc="0" locked="0" layoutInCell="1" allowOverlap="1" wp14:anchorId="3EBF3630" wp14:editId="488E9605">
                <wp:simplePos x="0" y="0"/>
                <wp:positionH relativeFrom="margin">
                  <wp:posOffset>0</wp:posOffset>
                </wp:positionH>
                <wp:positionV relativeFrom="paragraph">
                  <wp:posOffset>-1025525</wp:posOffset>
                </wp:positionV>
                <wp:extent cx="3849370" cy="429260"/>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429260"/>
                        </a:xfrm>
                        <a:prstGeom prst="rect">
                          <a:avLst/>
                        </a:prstGeom>
                        <a:noFill/>
                        <a:ln w="9525">
                          <a:noFill/>
                          <a:miter lim="800000"/>
                          <a:headEnd/>
                          <a:tailEnd/>
                        </a:ln>
                      </wps:spPr>
                      <wps:txbx>
                        <w:txbxContent>
                          <w:p w14:paraId="7CD3AE6E" w14:textId="77777777" w:rsidR="009042A8" w:rsidRPr="0006414E" w:rsidRDefault="005D47ED" w:rsidP="0006414E">
                            <w:pPr>
                              <w:rPr>
                                <w:rFonts w:ascii="Playfair Display" w:hAnsi="Playfair Display"/>
                                <w:b/>
                                <w:color w:val="002F5F" w:themeColor="text2"/>
                                <w:sz w:val="52"/>
                                <w:szCs w:val="52"/>
                              </w:rPr>
                            </w:pPr>
                            <w:r w:rsidRPr="005D47ED">
                              <w:rPr>
                                <w:rFonts w:ascii="Playfair Display" w:hAnsi="Playfair Display"/>
                                <w:b/>
                                <w:color w:val="002F5F" w:themeColor="text2"/>
                                <w:sz w:val="52"/>
                                <w:szCs w:val="52"/>
                              </w:rPr>
                              <w:t>Prashant Gupta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F3630" id="_x0000_t202" coordsize="21600,21600" o:spt="202" path="m,l,21600r21600,l21600,xe">
                <v:stroke joinstyle="miter"/>
                <v:path gradientshapeok="t" o:connecttype="rect"/>
              </v:shapetype>
              <v:shape id="Text Box 2" o:spid="_x0000_s1026" type="#_x0000_t202" style="position:absolute;margin-left:0;margin-top:-80.75pt;width:303.1pt;height:3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" filled="f" stroked="f">
                <v:textbox inset="0,0,0,0">
                  <w:txbxContent>
                    <w:p w14:paraId="7CD3AE6E" w14:textId="77777777" w:rsidR="009042A8" w:rsidRPr="0006414E" w:rsidRDefault="005D47ED" w:rsidP="0006414E">
                      <w:pPr>
                        <w:rPr>
                          <w:rFonts w:ascii="Playfair Display" w:hAnsi="Playfair Display"/>
                          <w:b/>
                          <w:color w:val="002F5F" w:themeColor="text2"/>
                          <w:sz w:val="52"/>
                          <w:szCs w:val="52"/>
                        </w:rPr>
                      </w:pPr>
                      <w:r w:rsidRPr="005D47ED">
                        <w:rPr>
                          <w:rFonts w:ascii="Playfair Display" w:hAnsi="Playfair Display"/>
                          <w:b/>
                          <w:color w:val="002F5F" w:themeColor="text2"/>
                          <w:sz w:val="52"/>
                          <w:szCs w:val="52"/>
                        </w:rPr>
                        <w:t>Prashant Gupta</w:t>
                      </w:r>
                    </w:p>
                  </w:txbxContent>
                </v:textbox>
                <w10:wrap anchorx="margin"/>
              </v:shape>
            </w:pict>
          </mc:Fallback>
        </mc:AlternateContent>
      </w:r>
      <w:r w:rsidR="00175189">
        <w:rPr>
          <w:noProof/>
          <w:lang w:val="en-AU" w:eastAsia="en-AU"/>
        </w:rPr>
        <mc:AlternateContent>
          <mc:Choice Requires="wps">
            <w:drawing>
              <wp:anchor distT="45720" distB="45720" distL="114300" distR="114300" simplePos="0" relativeHeight="251663360" behindDoc="0" locked="0" layoutInCell="1" allowOverlap="1" wp14:anchorId="211E1BB4" wp14:editId="1B1992B9">
                <wp:simplePos x="0" y="0"/>
                <wp:positionH relativeFrom="margin">
                  <wp:posOffset>0</wp:posOffset>
                </wp:positionH>
                <wp:positionV relativeFrom="paragraph">
                  <wp:posOffset>-602577</wp:posOffset>
                </wp:positionV>
                <wp:extent cx="3849370" cy="429260"/>
                <wp:effectExtent l="0" t="0" r="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429260"/>
                        </a:xfrm>
                        <a:prstGeom prst="rect">
                          <a:avLst/>
                        </a:prstGeom>
                        <a:noFill/>
                        <a:ln w="9525">
                          <a:noFill/>
                          <a:miter lim="800000"/>
                          <a:headEnd/>
                          <a:tailEnd/>
                        </a:ln>
                      </wps:spPr>
                      <wps:txbx>
                        <w:txbxContent>
                          <w:p w14:paraId="7164C0CB" w14:textId="77777777" w:rsidR="009042A8" w:rsidRDefault="00D02984" w:rsidP="004E47CE">
                            <w:pPr>
                              <w:pStyle w:val="Heading2"/>
                            </w:pPr>
                            <w:r w:rsidRPr="00D02984">
                              <w:t>National Practice Head</w:t>
                            </w:r>
                          </w:p>
                          <w:p w14:paraId="41452C79" w14:textId="77777777" w:rsidR="00175189" w:rsidRPr="00175189" w:rsidRDefault="00D02984" w:rsidP="00175189">
                            <w:r>
                              <w:t>Capital Market</w:t>
                            </w:r>
                            <w:r w:rsidR="00EF6FC2">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E1BB4" id="_x0000_s1027" type="#_x0000_t202" style="position:absolute;margin-left:0;margin-top:-47.45pt;width:303.1pt;height:33.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" filled="f" stroked="f">
                <v:textbox inset="0,0,0,0">
                  <w:txbxContent>
                    <w:p w14:paraId="7164C0CB" w14:textId="77777777" w:rsidR="009042A8" w:rsidRDefault="00D02984" w:rsidP="004E47CE">
                      <w:pPr>
                        <w:pStyle w:val="Heading2"/>
                      </w:pPr>
                      <w:r w:rsidRPr="00D02984">
                        <w:t>National Practice Head</w:t>
                      </w:r>
                    </w:p>
                    <w:p w14:paraId="41452C79" w14:textId="77777777" w:rsidR="00175189" w:rsidRPr="00175189" w:rsidRDefault="00D02984" w:rsidP="00175189">
                      <w:r>
                        <w:t>Capital Market</w:t>
                      </w:r>
                      <w:r w:rsidR="00EF6FC2">
                        <w:t>s</w:t>
                      </w:r>
                    </w:p>
                  </w:txbxContent>
                </v:textbox>
                <w10:wrap anchorx="margin"/>
              </v:shape>
            </w:pict>
          </mc:Fallback>
        </mc:AlternateContent>
      </w:r>
      <w:r w:rsidR="0077102B" w:rsidRPr="0077102B">
        <w:rPr>
          <w:rFonts w:ascii="Lato" w:hAnsi="Lato" w:cs="Lato"/>
          <w:noProof/>
          <w:sz w:val="18"/>
          <w:szCs w:val="18"/>
          <w:lang w:val="en-AU" w:eastAsia="en-AU"/>
        </w:rPr>
        <mc:AlternateContent>
          <mc:Choice Requires="wps">
            <w:drawing>
              <wp:anchor distT="45720" distB="45720" distL="114300" distR="114300" simplePos="0" relativeHeight="251666432" behindDoc="0" locked="1" layoutInCell="1" allowOverlap="1" wp14:anchorId="3F1E7DE0" wp14:editId="17176E9B">
                <wp:simplePos x="0" y="0"/>
                <wp:positionH relativeFrom="column">
                  <wp:posOffset>4756150</wp:posOffset>
                </wp:positionH>
                <wp:positionV relativeFrom="paragraph">
                  <wp:posOffset>334010</wp:posOffset>
                </wp:positionV>
                <wp:extent cx="2038350" cy="63150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6315075"/>
                        </a:xfrm>
                        <a:prstGeom prst="rect">
                          <a:avLst/>
                        </a:prstGeom>
                        <a:solidFill>
                          <a:schemeClr val="bg1">
                            <a:lumMod val="85000"/>
                          </a:schemeClr>
                        </a:solidFill>
                        <a:ln w="9525">
                          <a:noFill/>
                          <a:miter lim="800000"/>
                          <a:headEnd/>
                          <a:tailEnd/>
                        </a:ln>
                      </wps:spPr>
                      <wps:txbx>
                        <w:txbxContent>
                          <w:p w14:paraId="33D61AA5" w14:textId="77777777" w:rsidR="00415584" w:rsidRPr="00493762" w:rsidRDefault="00415584" w:rsidP="00415584">
                            <w:pPr>
                              <w:pStyle w:val="Heading5"/>
                            </w:pPr>
                            <w:r>
                              <w:t>Location</w:t>
                            </w:r>
                          </w:p>
                          <w:p w14:paraId="37C8F48C" w14:textId="77777777" w:rsidR="00415584" w:rsidRDefault="00415584" w:rsidP="00415584">
                            <w:pPr>
                              <w:pStyle w:val="BoxBullet"/>
                            </w:pPr>
                            <w:r>
                              <w:t>Delhi</w:t>
                            </w:r>
                          </w:p>
                          <w:p w14:paraId="335A7913" w14:textId="77777777" w:rsidR="00415584" w:rsidRDefault="00415584" w:rsidP="00415584">
                            <w:pPr>
                              <w:pStyle w:val="BoxBullet"/>
                              <w:numPr>
                                <w:ilvl w:val="0"/>
                                <w:numId w:val="0"/>
                              </w:numPr>
                            </w:pPr>
                          </w:p>
                          <w:p w14:paraId="30E39C0E" w14:textId="77777777" w:rsidR="00415584" w:rsidRPr="00493762" w:rsidRDefault="00415584" w:rsidP="00415584">
                            <w:pPr>
                              <w:pStyle w:val="Heading5"/>
                            </w:pPr>
                            <w:r>
                              <w:t>Education</w:t>
                            </w:r>
                          </w:p>
                          <w:p w14:paraId="26E689DF" w14:textId="666D25F5" w:rsidR="00415584" w:rsidRPr="00493762" w:rsidRDefault="00415584" w:rsidP="00415584">
                            <w:pPr>
                              <w:pStyle w:val="BoxBullet"/>
                            </w:pPr>
                            <w:r w:rsidRPr="00493762">
                              <w:t>B.A. (Juris) &amp; M.A. (Juris), University of Oxford, England</w:t>
                            </w:r>
                          </w:p>
                          <w:p w14:paraId="7544001B" w14:textId="08B57AC9" w:rsidR="0077102B" w:rsidRPr="00493762" w:rsidRDefault="005251A5" w:rsidP="00D02984">
                            <w:pPr>
                              <w:pStyle w:val="BoxBullet"/>
                            </w:pPr>
                            <w:r w:rsidRPr="00493762">
                              <w:t>B. Com</w:t>
                            </w:r>
                            <w:r w:rsidR="00D02984" w:rsidRPr="00493762">
                              <w:t xml:space="preserve"> (Hons.); Shri Ram College of Commerce, University of Delhi</w:t>
                            </w:r>
                          </w:p>
                          <w:p w14:paraId="4CC512AE" w14:textId="77777777" w:rsidR="00D02984" w:rsidRPr="00493762" w:rsidRDefault="00D02984" w:rsidP="00493762">
                            <w:pPr>
                              <w:pStyle w:val="NoSpacing"/>
                            </w:pPr>
                          </w:p>
                          <w:p w14:paraId="3F6A7541" w14:textId="77777777" w:rsidR="0077102B" w:rsidRPr="00493762" w:rsidRDefault="0077102B" w:rsidP="00286C38">
                            <w:pPr>
                              <w:pStyle w:val="Heading5"/>
                              <w:rPr>
                                <w:rFonts w:ascii="Lato" w:hAnsi="Lato" w:cs="Lato"/>
                                <w:b/>
                                <w:bCs/>
                              </w:rPr>
                            </w:pPr>
                            <w:r w:rsidRPr="00493762">
                              <w:t>Practices</w:t>
                            </w:r>
                          </w:p>
                          <w:p w14:paraId="7221027F" w14:textId="77777777" w:rsidR="0077102B" w:rsidRPr="00493762" w:rsidRDefault="00D02984" w:rsidP="004E47CE">
                            <w:pPr>
                              <w:pStyle w:val="BoxBullet"/>
                            </w:pPr>
                            <w:r w:rsidRPr="00493762">
                              <w:t>Capital Market</w:t>
                            </w:r>
                            <w:r w:rsidR="00EF6FC2" w:rsidRPr="00493762">
                              <w:t>s</w:t>
                            </w:r>
                          </w:p>
                          <w:p w14:paraId="7769B1B4" w14:textId="77777777" w:rsidR="0077102B" w:rsidRPr="00493762" w:rsidRDefault="0077102B" w:rsidP="00493762">
                            <w:pPr>
                              <w:pStyle w:val="NoSpacing"/>
                            </w:pPr>
                          </w:p>
                          <w:p w14:paraId="2CD33210" w14:textId="77777777" w:rsidR="0077102B" w:rsidRPr="00493762" w:rsidRDefault="0077102B" w:rsidP="00816F32">
                            <w:pPr>
                              <w:pStyle w:val="Heading5"/>
                              <w:rPr>
                                <w:rFonts w:ascii="Lato" w:hAnsi="Lato" w:cs="Lato"/>
                                <w:b/>
                                <w:bCs/>
                                <w:color w:val="BC945B"/>
                              </w:rPr>
                            </w:pPr>
                            <w:r w:rsidRPr="00493762">
                              <w:t>Professional Me</w:t>
                            </w:r>
                            <w:r w:rsidRPr="00493762">
                              <w:rPr>
                                <w:rStyle w:val="Heading5Char"/>
                              </w:rPr>
                              <w:t>mbershi</w:t>
                            </w:r>
                            <w:r w:rsidR="00D24C67">
                              <w:t>p</w:t>
                            </w:r>
                          </w:p>
                          <w:p w14:paraId="5C3F6813" w14:textId="77777777" w:rsidR="00AE16F9" w:rsidRDefault="00D02984" w:rsidP="002E6B2D">
                            <w:pPr>
                              <w:pStyle w:val="BoxBullet"/>
                            </w:pPr>
                            <w:r w:rsidRPr="00493762">
                              <w:t>Bar Council of Delhi</w:t>
                            </w:r>
                          </w:p>
                          <w:p w14:paraId="3D346A67" w14:textId="040676F6" w:rsidR="0077102B" w:rsidRPr="00493762" w:rsidRDefault="00D02984" w:rsidP="00333834">
                            <w:pPr>
                              <w:pStyle w:val="BoxBullet"/>
                            </w:pPr>
                            <w:r w:rsidRPr="00493762">
                              <w:t>State</w:t>
                            </w:r>
                            <w:r w:rsidR="00AE16F9">
                              <w:t xml:space="preserve"> </w:t>
                            </w:r>
                            <w:r w:rsidRPr="00493762">
                              <w:t>Bar of California</w:t>
                            </w:r>
                          </w:p>
                          <w:p w14:paraId="1EE2BC0D" w14:textId="77777777" w:rsidR="00FF3CB2" w:rsidRPr="00493762" w:rsidRDefault="00FF3CB2" w:rsidP="00493762">
                            <w:pPr>
                              <w:pStyle w:val="NoSpacing"/>
                            </w:pPr>
                          </w:p>
                          <w:p w14:paraId="7B54EEE6" w14:textId="77777777" w:rsidR="0043108A" w:rsidRPr="00493762" w:rsidRDefault="00D24C67" w:rsidP="0043108A">
                            <w:pPr>
                              <w:pStyle w:val="Heading5"/>
                              <w:rPr>
                                <w:rFonts w:ascii="Lato" w:hAnsi="Lato" w:cs="Lato"/>
                                <w:b/>
                                <w:bCs/>
                                <w:color w:val="BC945B"/>
                              </w:rPr>
                            </w:pPr>
                            <w:r>
                              <w:t>Awards &amp; Recognitions</w:t>
                            </w:r>
                          </w:p>
                          <w:p w14:paraId="3D234AF1" w14:textId="2CC6AA7F" w:rsidR="0078373A" w:rsidRPr="0078373A" w:rsidRDefault="0078373A" w:rsidP="0078373A">
                            <w:pPr>
                              <w:pStyle w:val="BoxBullet"/>
                              <w:rPr>
                                <w:lang w:val="en-IN" w:eastAsia="en-IN"/>
                              </w:rPr>
                            </w:pPr>
                            <w:r w:rsidRPr="0078373A">
                              <w:rPr>
                                <w:b/>
                                <w:bCs/>
                                <w:lang w:val="en-IN" w:eastAsia="en-IN"/>
                              </w:rPr>
                              <w:t>Elite Practitioner</w:t>
                            </w:r>
                            <w:r w:rsidRPr="0078373A">
                              <w:rPr>
                                <w:lang w:val="en-IN" w:eastAsia="en-IN"/>
                              </w:rPr>
                              <w:t xml:space="preserve"> for Capital Markets by </w:t>
                            </w:r>
                            <w:r w:rsidR="00120B64">
                              <w:rPr>
                                <w:lang w:val="en-IN" w:eastAsia="en-IN"/>
                              </w:rPr>
                              <w:t>a</w:t>
                            </w:r>
                            <w:r w:rsidRPr="0078373A">
                              <w:rPr>
                                <w:lang w:val="en-IN" w:eastAsia="en-IN"/>
                              </w:rPr>
                              <w:t>sialaw Profiles, 2020 &amp; 2024-25</w:t>
                            </w:r>
                          </w:p>
                          <w:p w14:paraId="0DFED2CD" w14:textId="4637393B" w:rsidR="0078373A" w:rsidRDefault="0078373A" w:rsidP="0078373A">
                            <w:pPr>
                              <w:pStyle w:val="BoxBullet"/>
                              <w:rPr>
                                <w:lang w:val="en-IN" w:eastAsia="en-IN"/>
                              </w:rPr>
                            </w:pPr>
                            <w:r w:rsidRPr="0078373A">
                              <w:rPr>
                                <w:b/>
                                <w:bCs/>
                                <w:lang w:val="en-IN" w:eastAsia="en-IN"/>
                              </w:rPr>
                              <w:t>Leading Partner</w:t>
                            </w:r>
                            <w:r w:rsidRPr="0078373A">
                              <w:rPr>
                                <w:lang w:val="en-IN" w:eastAsia="en-IN"/>
                              </w:rPr>
                              <w:t xml:space="preserve"> for Capital Markets by Legal 500 202</w:t>
                            </w:r>
                            <w:r w:rsidR="005B23FB">
                              <w:rPr>
                                <w:lang w:val="en-IN" w:eastAsia="en-IN"/>
                              </w:rPr>
                              <w:t>0-26</w:t>
                            </w:r>
                          </w:p>
                          <w:p w14:paraId="07BE7CDF" w14:textId="77777777" w:rsidR="00B3181E" w:rsidRPr="00B3181E" w:rsidRDefault="00B3181E" w:rsidP="00B3181E">
                            <w:pPr>
                              <w:pStyle w:val="BoxBullet"/>
                              <w:rPr>
                                <w:lang w:val="en-IN" w:eastAsia="en-IN"/>
                              </w:rPr>
                            </w:pPr>
                            <w:r w:rsidRPr="00B3181E">
                              <w:rPr>
                                <w:b/>
                                <w:bCs/>
                                <w:lang w:val="en-IN" w:eastAsia="en-IN"/>
                              </w:rPr>
                              <w:t>A-List of India's Top Lawyer</w:t>
                            </w:r>
                            <w:r w:rsidRPr="00B3181E">
                              <w:rPr>
                                <w:lang w:val="en-IN" w:eastAsia="en-IN"/>
                              </w:rPr>
                              <w:t> by India Business Law Journal, 2017-26</w:t>
                            </w:r>
                          </w:p>
                          <w:p w14:paraId="03E9AE62" w14:textId="77777777" w:rsidR="0078373A" w:rsidRPr="0078373A" w:rsidRDefault="0078373A" w:rsidP="0078373A">
                            <w:pPr>
                              <w:pStyle w:val="BoxBullet"/>
                              <w:rPr>
                                <w:lang w:val="en-IN" w:eastAsia="en-IN"/>
                              </w:rPr>
                            </w:pPr>
                            <w:r w:rsidRPr="0078373A">
                              <w:rPr>
                                <w:lang w:val="en-IN" w:eastAsia="en-IN"/>
                              </w:rPr>
                              <w:t xml:space="preserve">Recognised for </w:t>
                            </w:r>
                            <w:r w:rsidRPr="0078373A">
                              <w:rPr>
                                <w:b/>
                                <w:bCs/>
                                <w:lang w:val="en-IN" w:eastAsia="en-IN"/>
                              </w:rPr>
                              <w:t>Capital Markets - Debt &amp; Equity</w:t>
                            </w:r>
                            <w:r w:rsidRPr="0078373A">
                              <w:rPr>
                                <w:lang w:val="en-IN" w:eastAsia="en-IN"/>
                              </w:rPr>
                              <w:t xml:space="preserve"> by Lexology Index - Thought Leaders: Global Elite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E7DE0" id="_x0000_s1028" type="#_x0000_t202" style="position:absolute;margin-left:374.5pt;margin-top:26.3pt;width:160.5pt;height:497.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" fillcolor="#d8d8d8 [2732]" stroked="f">
                <v:textbox>
                  <w:txbxContent>
                    <w:p w14:paraId="33D61AA5" w14:textId="77777777" w:rsidR="00415584" w:rsidRPr="00493762" w:rsidRDefault="00415584" w:rsidP="00415584">
                      <w:pPr>
                        <w:pStyle w:val="Heading5"/>
                      </w:pPr>
                      <w:r>
                        <w:t>Location</w:t>
                      </w:r>
                    </w:p>
                    <w:p w14:paraId="37C8F48C" w14:textId="77777777" w:rsidR="00415584" w:rsidRDefault="00415584" w:rsidP="00415584">
                      <w:pPr>
                        <w:pStyle w:val="BoxBullet"/>
                      </w:pPr>
                      <w:r>
                        <w:t>Delhi</w:t>
                      </w:r>
                    </w:p>
                    <w:p w14:paraId="335A7913" w14:textId="77777777" w:rsidR="00415584" w:rsidRDefault="00415584" w:rsidP="00415584">
                      <w:pPr>
                        <w:pStyle w:val="BoxBullet"/>
                        <w:numPr>
                          <w:ilvl w:val="0"/>
                          <w:numId w:val="0"/>
                        </w:numPr>
                      </w:pPr>
                    </w:p>
                    <w:p w14:paraId="30E39C0E" w14:textId="77777777" w:rsidR="00415584" w:rsidRPr="00493762" w:rsidRDefault="00415584" w:rsidP="00415584">
                      <w:pPr>
                        <w:pStyle w:val="Heading5"/>
                      </w:pPr>
                      <w:r>
                        <w:t>Education</w:t>
                      </w:r>
                    </w:p>
                    <w:p w14:paraId="26E689DF" w14:textId="666D25F5" w:rsidR="00415584" w:rsidRPr="00493762" w:rsidRDefault="00415584" w:rsidP="00415584">
                      <w:pPr>
                        <w:pStyle w:val="BoxBullet"/>
                      </w:pPr>
                      <w:r w:rsidRPr="00493762">
                        <w:t>B.A. (Juris) &amp; M.A. (Juris), University of Oxford, England</w:t>
                      </w:r>
                    </w:p>
                    <w:p w14:paraId="7544001B" w14:textId="08B57AC9" w:rsidR="0077102B" w:rsidRPr="00493762" w:rsidRDefault="005251A5" w:rsidP="00D02984">
                      <w:pPr>
                        <w:pStyle w:val="BoxBullet"/>
                      </w:pPr>
                      <w:r w:rsidRPr="00493762">
                        <w:t>B. Com</w:t>
                      </w:r>
                      <w:r w:rsidR="00D02984" w:rsidRPr="00493762">
                        <w:t xml:space="preserve"> (Hons.); Shri Ram College of Commerce, University of Delhi</w:t>
                      </w:r>
                    </w:p>
                    <w:p w14:paraId="4CC512AE" w14:textId="77777777" w:rsidR="00D02984" w:rsidRPr="00493762" w:rsidRDefault="00D02984" w:rsidP="00493762">
                      <w:pPr>
                        <w:pStyle w:val="NoSpacing"/>
                      </w:pPr>
                    </w:p>
                    <w:p w14:paraId="3F6A7541" w14:textId="77777777" w:rsidR="0077102B" w:rsidRPr="00493762" w:rsidRDefault="0077102B" w:rsidP="00286C38">
                      <w:pPr>
                        <w:pStyle w:val="Heading5"/>
                        <w:rPr>
                          <w:rFonts w:ascii="Lato" w:hAnsi="Lato" w:cs="Lato"/>
                          <w:b/>
                          <w:bCs/>
                        </w:rPr>
                      </w:pPr>
                      <w:r w:rsidRPr="00493762">
                        <w:t>Practices</w:t>
                      </w:r>
                    </w:p>
                    <w:p w14:paraId="7221027F" w14:textId="77777777" w:rsidR="0077102B" w:rsidRPr="00493762" w:rsidRDefault="00D02984" w:rsidP="004E47CE">
                      <w:pPr>
                        <w:pStyle w:val="BoxBullet"/>
                      </w:pPr>
                      <w:r w:rsidRPr="00493762">
                        <w:t>Capital Market</w:t>
                      </w:r>
                      <w:r w:rsidR="00EF6FC2" w:rsidRPr="00493762">
                        <w:t>s</w:t>
                      </w:r>
                    </w:p>
                    <w:p w14:paraId="7769B1B4" w14:textId="77777777" w:rsidR="0077102B" w:rsidRPr="00493762" w:rsidRDefault="0077102B" w:rsidP="00493762">
                      <w:pPr>
                        <w:pStyle w:val="NoSpacing"/>
                      </w:pPr>
                    </w:p>
                    <w:p w14:paraId="2CD33210" w14:textId="77777777" w:rsidR="0077102B" w:rsidRPr="00493762" w:rsidRDefault="0077102B" w:rsidP="00816F32">
                      <w:pPr>
                        <w:pStyle w:val="Heading5"/>
                        <w:rPr>
                          <w:rFonts w:ascii="Lato" w:hAnsi="Lato" w:cs="Lato"/>
                          <w:b/>
                          <w:bCs/>
                          <w:color w:val="BC945B"/>
                        </w:rPr>
                      </w:pPr>
                      <w:r w:rsidRPr="00493762">
                        <w:t>Professional Me</w:t>
                      </w:r>
                      <w:r w:rsidRPr="00493762">
                        <w:rPr>
                          <w:rStyle w:val="Heading5Char"/>
                        </w:rPr>
                        <w:t>mbershi</w:t>
                      </w:r>
                      <w:r w:rsidR="00D24C67">
                        <w:t>p</w:t>
                      </w:r>
                    </w:p>
                    <w:p w14:paraId="5C3F6813" w14:textId="77777777" w:rsidR="00AE16F9" w:rsidRDefault="00D02984" w:rsidP="002E6B2D">
                      <w:pPr>
                        <w:pStyle w:val="BoxBullet"/>
                      </w:pPr>
                      <w:r w:rsidRPr="00493762">
                        <w:t>Bar Council of Delhi</w:t>
                      </w:r>
                    </w:p>
                    <w:p w14:paraId="3D346A67" w14:textId="040676F6" w:rsidR="0077102B" w:rsidRPr="00493762" w:rsidRDefault="00D02984" w:rsidP="00333834">
                      <w:pPr>
                        <w:pStyle w:val="BoxBullet"/>
                      </w:pPr>
                      <w:r w:rsidRPr="00493762">
                        <w:t>State</w:t>
                      </w:r>
                      <w:r w:rsidR="00AE16F9">
                        <w:t xml:space="preserve"> </w:t>
                      </w:r>
                      <w:r w:rsidRPr="00493762">
                        <w:t>Bar of California</w:t>
                      </w:r>
                    </w:p>
                    <w:p w14:paraId="1EE2BC0D" w14:textId="77777777" w:rsidR="00FF3CB2" w:rsidRPr="00493762" w:rsidRDefault="00FF3CB2" w:rsidP="00493762">
                      <w:pPr>
                        <w:pStyle w:val="NoSpacing"/>
                      </w:pPr>
                    </w:p>
                    <w:p w14:paraId="7B54EEE6" w14:textId="77777777" w:rsidR="0043108A" w:rsidRPr="00493762" w:rsidRDefault="00D24C67" w:rsidP="0043108A">
                      <w:pPr>
                        <w:pStyle w:val="Heading5"/>
                        <w:rPr>
                          <w:rFonts w:ascii="Lato" w:hAnsi="Lato" w:cs="Lato"/>
                          <w:b/>
                          <w:bCs/>
                          <w:color w:val="BC945B"/>
                        </w:rPr>
                      </w:pPr>
                      <w:r>
                        <w:t>Awards &amp; Recognitions</w:t>
                      </w:r>
                    </w:p>
                    <w:p w14:paraId="3D234AF1" w14:textId="2CC6AA7F" w:rsidR="0078373A" w:rsidRPr="0078373A" w:rsidRDefault="0078373A" w:rsidP="0078373A">
                      <w:pPr>
                        <w:pStyle w:val="BoxBullet"/>
                        <w:rPr>
                          <w:lang w:val="en-IN" w:eastAsia="en-IN"/>
                        </w:rPr>
                      </w:pPr>
                      <w:r w:rsidRPr="0078373A">
                        <w:rPr>
                          <w:b/>
                          <w:bCs/>
                          <w:lang w:val="en-IN" w:eastAsia="en-IN"/>
                        </w:rPr>
                        <w:t>Elite Practitioner</w:t>
                      </w:r>
                      <w:r w:rsidRPr="0078373A">
                        <w:rPr>
                          <w:lang w:val="en-IN" w:eastAsia="en-IN"/>
                        </w:rPr>
                        <w:t xml:space="preserve"> for Capital Markets by </w:t>
                      </w:r>
                      <w:r w:rsidR="00120B64">
                        <w:rPr>
                          <w:lang w:val="en-IN" w:eastAsia="en-IN"/>
                        </w:rPr>
                        <w:t>a</w:t>
                      </w:r>
                      <w:r w:rsidRPr="0078373A">
                        <w:rPr>
                          <w:lang w:val="en-IN" w:eastAsia="en-IN"/>
                        </w:rPr>
                        <w:t>sialaw Profiles, 2020 &amp; 2024-25</w:t>
                      </w:r>
                    </w:p>
                    <w:p w14:paraId="0DFED2CD" w14:textId="4637393B" w:rsidR="0078373A" w:rsidRDefault="0078373A" w:rsidP="0078373A">
                      <w:pPr>
                        <w:pStyle w:val="BoxBullet"/>
                        <w:rPr>
                          <w:lang w:val="en-IN" w:eastAsia="en-IN"/>
                        </w:rPr>
                      </w:pPr>
                      <w:r w:rsidRPr="0078373A">
                        <w:rPr>
                          <w:b/>
                          <w:bCs/>
                          <w:lang w:val="en-IN" w:eastAsia="en-IN"/>
                        </w:rPr>
                        <w:t>Leading Partner</w:t>
                      </w:r>
                      <w:r w:rsidRPr="0078373A">
                        <w:rPr>
                          <w:lang w:val="en-IN" w:eastAsia="en-IN"/>
                        </w:rPr>
                        <w:t xml:space="preserve"> for Capital Markets by Legal 500 202</w:t>
                      </w:r>
                      <w:r w:rsidR="005B23FB">
                        <w:rPr>
                          <w:lang w:val="en-IN" w:eastAsia="en-IN"/>
                        </w:rPr>
                        <w:t>0-26</w:t>
                      </w:r>
                    </w:p>
                    <w:p w14:paraId="07BE7CDF" w14:textId="77777777" w:rsidR="00B3181E" w:rsidRPr="00B3181E" w:rsidRDefault="00B3181E" w:rsidP="00B3181E">
                      <w:pPr>
                        <w:pStyle w:val="BoxBullet"/>
                        <w:rPr>
                          <w:lang w:val="en-IN" w:eastAsia="en-IN"/>
                        </w:rPr>
                      </w:pPr>
                      <w:r w:rsidRPr="00B3181E">
                        <w:rPr>
                          <w:b/>
                          <w:bCs/>
                          <w:lang w:val="en-IN" w:eastAsia="en-IN"/>
                        </w:rPr>
                        <w:t>A-List of India's Top Lawyer</w:t>
                      </w:r>
                      <w:r w:rsidRPr="00B3181E">
                        <w:rPr>
                          <w:lang w:val="en-IN" w:eastAsia="en-IN"/>
                        </w:rPr>
                        <w:t> by India Business Law Journal, 2017-26</w:t>
                      </w:r>
                    </w:p>
                    <w:p w14:paraId="03E9AE62" w14:textId="77777777" w:rsidR="0078373A" w:rsidRPr="0078373A" w:rsidRDefault="0078373A" w:rsidP="0078373A">
                      <w:pPr>
                        <w:pStyle w:val="BoxBullet"/>
                        <w:rPr>
                          <w:lang w:val="en-IN" w:eastAsia="en-IN"/>
                        </w:rPr>
                      </w:pPr>
                      <w:r w:rsidRPr="0078373A">
                        <w:rPr>
                          <w:lang w:val="en-IN" w:eastAsia="en-IN"/>
                        </w:rPr>
                        <w:t xml:space="preserve">Recognised for </w:t>
                      </w:r>
                      <w:r w:rsidRPr="0078373A">
                        <w:rPr>
                          <w:b/>
                          <w:bCs/>
                          <w:lang w:val="en-IN" w:eastAsia="en-IN"/>
                        </w:rPr>
                        <w:t>Capital Markets - Debt &amp; Equity</w:t>
                      </w:r>
                      <w:r w:rsidRPr="0078373A">
                        <w:rPr>
                          <w:lang w:val="en-IN" w:eastAsia="en-IN"/>
                        </w:rPr>
                        <w:t xml:space="preserve"> by Lexology Index - Thought Leaders: Global Elite 2025</w:t>
                      </w:r>
                    </w:p>
                  </w:txbxContent>
                </v:textbox>
                <w10:wrap type="square"/>
                <w10:anchorlock/>
              </v:shape>
            </w:pict>
          </mc:Fallback>
        </mc:AlternateContent>
      </w:r>
    </w:p>
    <w:p w14:paraId="31FF284E" w14:textId="77777777" w:rsidR="00A02FC6" w:rsidRDefault="00A02FC6" w:rsidP="00A02FC6">
      <w:pPr>
        <w:pStyle w:val="NoSpacing"/>
      </w:pPr>
      <w:r w:rsidRPr="00D53682">
        <w:t>Prashant Gupta</w:t>
      </w:r>
      <w:r w:rsidRPr="00E92461">
        <w:rPr>
          <w:b/>
          <w:bCs/>
        </w:rPr>
        <w:t xml:space="preserve"> </w:t>
      </w:r>
      <w:r w:rsidRPr="00E92461">
        <w:t>focuses primarily on capital markets transactions.</w:t>
      </w:r>
    </w:p>
    <w:p w14:paraId="24BA0D62" w14:textId="77777777" w:rsidR="00A02FC6" w:rsidRDefault="00A02FC6" w:rsidP="00A02FC6">
      <w:pPr>
        <w:pStyle w:val="NoSpacing"/>
      </w:pPr>
    </w:p>
    <w:p w14:paraId="6A509233" w14:textId="77202516" w:rsidR="00A02FC6" w:rsidRDefault="00A02FC6" w:rsidP="00A02FC6">
      <w:pPr>
        <w:pStyle w:val="NoSpacing"/>
      </w:pPr>
      <w:r w:rsidRPr="00E92461">
        <w:t>He represents both issuers and underwriters in various equity and debt capital raising transactions, including initial public offerings, rights issues and QIP offerings, capital restructurings</w:t>
      </w:r>
      <w:r>
        <w:t>, as well as offerings of dollar denominated bonds and convertible bonds</w:t>
      </w:r>
      <w:r w:rsidRPr="00E92461">
        <w:t>. He has advised on capital markets transactions that have raised over US$ 60 billion globally</w:t>
      </w:r>
      <w:r>
        <w:t>, including some of the largest and most complex capital markets transactions in India while at the Firm, including:</w:t>
      </w:r>
    </w:p>
    <w:p w14:paraId="3005B181" w14:textId="57ADD57E" w:rsidR="00A02FC6" w:rsidRDefault="00A02FC6" w:rsidP="00A02FC6">
      <w:pPr>
        <w:pStyle w:val="Bullet"/>
      </w:pPr>
      <w:r>
        <w:t xml:space="preserve">The </w:t>
      </w:r>
      <w:r w:rsidR="00B61EBC">
        <w:t>four</w:t>
      </w:r>
      <w:r>
        <w:t xml:space="preserve"> (</w:t>
      </w:r>
      <w:r w:rsidR="000C1A79">
        <w:t>4</w:t>
      </w:r>
      <w:r>
        <w:t xml:space="preserve">) largest IPOs by size, namely Hyundai Motors India, Life Insurance Corporation of India, One97 Communications (Paytm) and Coal India Limited; </w:t>
      </w:r>
    </w:p>
    <w:p w14:paraId="657768D2" w14:textId="77777777" w:rsidR="00A02FC6" w:rsidRDefault="00A02FC6" w:rsidP="00A02FC6">
      <w:pPr>
        <w:pStyle w:val="Bullet"/>
      </w:pPr>
      <w:r>
        <w:t xml:space="preserve">Seven (7) of the 10 largest IPOs in India by size until date; </w:t>
      </w:r>
    </w:p>
    <w:p w14:paraId="30FD1AA7" w14:textId="77777777" w:rsidR="00A02FC6" w:rsidRDefault="00A02FC6" w:rsidP="00A02FC6">
      <w:pPr>
        <w:pStyle w:val="Bullet"/>
      </w:pPr>
      <w:r>
        <w:t>The first listing by an Indian company by a SPAC transaction (Videocon D2h) in 2017</w:t>
      </w:r>
      <w:r w:rsidRPr="0094441F">
        <w:t xml:space="preserve">; </w:t>
      </w:r>
    </w:p>
    <w:p w14:paraId="78F454C0" w14:textId="77777777" w:rsidR="00A02FC6" w:rsidRPr="0094441F" w:rsidRDefault="00A02FC6" w:rsidP="00A02FC6">
      <w:pPr>
        <w:pStyle w:val="Bullet"/>
      </w:pPr>
      <w:r>
        <w:t xml:space="preserve">The largest composite offering of equity shares and convertible bonds by an Indian based company (MakeMyTrip) of US$3 billon in 2025; and </w:t>
      </w:r>
    </w:p>
    <w:p w14:paraId="50645305" w14:textId="77777777" w:rsidR="00A02FC6" w:rsidRDefault="00A02FC6" w:rsidP="00A02FC6">
      <w:pPr>
        <w:pStyle w:val="Bullet"/>
      </w:pPr>
      <w:r>
        <w:t xml:space="preserve">The largest bond offering by an Indian group (Vedanta) of US$1.6 billion in 2011.  </w:t>
      </w:r>
    </w:p>
    <w:p w14:paraId="33D1B7AA" w14:textId="77777777" w:rsidR="00A02FC6" w:rsidRPr="00BE0BA8" w:rsidRDefault="00A02FC6" w:rsidP="00A02FC6">
      <w:pPr>
        <w:pStyle w:val="NoSpacing"/>
      </w:pPr>
    </w:p>
    <w:p w14:paraId="0F7FCE3A" w14:textId="5FB34B66" w:rsidR="00A02FC6" w:rsidRDefault="00A02FC6" w:rsidP="00A02FC6">
      <w:pPr>
        <w:pStyle w:val="NoSpacing"/>
      </w:pPr>
      <w:r w:rsidRPr="008416C7">
        <w:t>Prashant has been recognised as the ‘Lawyer of the Year’ for Capital Markets by Legal</w:t>
      </w:r>
      <w:r w:rsidR="00AE0603">
        <w:t xml:space="preserve"> </w:t>
      </w:r>
      <w:r w:rsidRPr="008416C7">
        <w:t xml:space="preserve">500 India Awards 2024; Global Elite: Thought Leader for Capital Markets – Debt &amp; Equity by Lexology </w:t>
      </w:r>
      <w:r>
        <w:t>since 2020</w:t>
      </w:r>
      <w:r w:rsidRPr="008416C7">
        <w:t>; Asia’s Best Lawyers by IFLR from 2019-2021 and in the prestigious ‘ET 40 under Forty’ list of 2019 by the Economic Times. He has been recognised by Who’s Who Legal</w:t>
      </w:r>
      <w:r>
        <w:t xml:space="preserve"> (Lexology)</w:t>
      </w:r>
      <w:r w:rsidRPr="008416C7">
        <w:t>, Chambers, and Legal</w:t>
      </w:r>
      <w:r w:rsidR="00BB37D5">
        <w:t xml:space="preserve"> </w:t>
      </w:r>
      <w:r w:rsidR="00871A5B">
        <w:t>SS</w:t>
      </w:r>
      <w:r w:rsidRPr="008416C7">
        <w:t>500 and other legal industry publications as one of the leading capital markets practitioners in India. He is ranked “Band 1” by Chambers Global and has been recognised as a “Market Leader” by IFLR 1000 since 2018. Since 2016, Prashant has also been selected as one of the top 100 private practice lawyers in India by, India Business Law Journal in each year.</w:t>
      </w:r>
    </w:p>
    <w:p w14:paraId="351735E7" w14:textId="77777777" w:rsidR="00A02FC6" w:rsidRDefault="00A02FC6" w:rsidP="00A02FC6">
      <w:pPr>
        <w:pStyle w:val="NoSpacing"/>
      </w:pPr>
    </w:p>
    <w:p w14:paraId="567BA68C" w14:textId="31BB3790" w:rsidR="00A02FC6" w:rsidRDefault="00A02FC6" w:rsidP="00A02FC6">
      <w:pPr>
        <w:pStyle w:val="NoSpacing"/>
      </w:pPr>
      <w:r w:rsidRPr="00E92461">
        <w:t xml:space="preserve">Prashant has advised on equity and bond offerings by issuers across various industries, including Apollo Hospitals, </w:t>
      </w:r>
      <w:r>
        <w:t xml:space="preserve">Ather Energy, </w:t>
      </w:r>
      <w:r w:rsidRPr="00E92461">
        <w:t xml:space="preserve">Apollo Tyres, Azure Power, AU Small Finance Bank, Bharti Airtel Limited, Brainbees Solutions Limited (Firstcry), Continuum Green Energy, Coal India, DEN Networks, Delhivery Limited, DLF Limited, Dr. Lals Pathlabs, Eris Lifesciences, Eros International, Federal Bank, HPCL–Mittal Energy, </w:t>
      </w:r>
      <w:r>
        <w:t xml:space="preserve">Hexaware Technologies </w:t>
      </w:r>
      <w:r w:rsidRPr="00E92461">
        <w:t xml:space="preserve">Hyundai Motor India, IDFC, Jubilant Foodworks, KIMS Hospitals, Kfin Technologies, Lemon Tree Hotels, MakeMyTrip, Mankind Pharma, Max Healthcare, Niva Bupa Health Insurance Company Limited, One97 Communications Limited (Paytm), Interglobe Aviation (Indigo), Ola Electric Mobility Limited, ONGC, PB Fintech (Policybazaar), PVR Limited, Power Grid Corporation, PNB Housing Finance, PVR Limited, </w:t>
      </w:r>
      <w:r w:rsidRPr="0077102B">
        <w:rPr>
          <w:noProof/>
          <w:lang w:val="en-AU" w:eastAsia="en-AU"/>
        </w:rPr>
        <w:lastRenderedPageBreak/>
        <mc:AlternateContent>
          <mc:Choice Requires="wps">
            <w:drawing>
              <wp:anchor distT="45720" distB="45720" distL="114300" distR="114300" simplePos="0" relativeHeight="251670528" behindDoc="0" locked="1" layoutInCell="1" allowOverlap="1" wp14:anchorId="2315C721" wp14:editId="0D59A70B">
                <wp:simplePos x="0" y="0"/>
                <wp:positionH relativeFrom="rightMargin">
                  <wp:posOffset>311150</wp:posOffset>
                </wp:positionH>
                <wp:positionV relativeFrom="paragraph">
                  <wp:posOffset>0</wp:posOffset>
                </wp:positionV>
                <wp:extent cx="2038350" cy="711835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118350"/>
                        </a:xfrm>
                        <a:prstGeom prst="rect">
                          <a:avLst/>
                        </a:prstGeom>
                        <a:solidFill>
                          <a:schemeClr val="bg1">
                            <a:lumMod val="85000"/>
                          </a:schemeClr>
                        </a:solidFill>
                        <a:ln w="9525">
                          <a:noFill/>
                          <a:miter lim="800000"/>
                          <a:headEnd/>
                          <a:tailEnd/>
                        </a:ln>
                      </wps:spPr>
                      <wps:txbx>
                        <w:txbxContent>
                          <w:p w14:paraId="41122CC6" w14:textId="77777777" w:rsidR="00A02FC6" w:rsidRPr="00493762" w:rsidRDefault="00A02FC6" w:rsidP="00A02FC6">
                            <w:pPr>
                              <w:pStyle w:val="Heading5"/>
                              <w:rPr>
                                <w:rFonts w:ascii="Lato" w:hAnsi="Lato" w:cs="Lato"/>
                                <w:b/>
                                <w:bCs/>
                                <w:color w:val="BC945B"/>
                              </w:rPr>
                            </w:pPr>
                            <w:r>
                              <w:t>Awards &amp; Recognitions</w:t>
                            </w:r>
                          </w:p>
                          <w:p w14:paraId="687E2858" w14:textId="77777777" w:rsidR="00B3181E" w:rsidRPr="0078373A" w:rsidRDefault="00B3181E" w:rsidP="00B3181E">
                            <w:pPr>
                              <w:pStyle w:val="BoxBullet"/>
                              <w:rPr>
                                <w:lang w:val="en-IN" w:eastAsia="en-IN"/>
                              </w:rPr>
                            </w:pPr>
                            <w:r w:rsidRPr="0078373A">
                              <w:rPr>
                                <w:b/>
                                <w:bCs/>
                                <w:lang w:val="en-IN" w:eastAsia="en-IN"/>
                              </w:rPr>
                              <w:t>Band 1</w:t>
                            </w:r>
                            <w:r w:rsidRPr="0078373A">
                              <w:rPr>
                                <w:lang w:val="en-IN" w:eastAsia="en-IN"/>
                              </w:rPr>
                              <w:t xml:space="preserve"> for Capital Markets: Equity by Chambers &amp; Partners Asia Pacific, 2017-202</w:t>
                            </w:r>
                            <w:r>
                              <w:rPr>
                                <w:lang w:val="en-IN" w:eastAsia="en-IN"/>
                              </w:rPr>
                              <w:t>6</w:t>
                            </w:r>
                          </w:p>
                          <w:p w14:paraId="352DDFE4" w14:textId="55811D2B" w:rsidR="0078373A" w:rsidRPr="0078373A" w:rsidRDefault="0078373A" w:rsidP="0078373A">
                            <w:pPr>
                              <w:pStyle w:val="BoxBullet"/>
                              <w:rPr>
                                <w:lang w:val="en-IN" w:eastAsia="en-IN"/>
                              </w:rPr>
                            </w:pPr>
                            <w:r w:rsidRPr="0078373A">
                              <w:rPr>
                                <w:b/>
                                <w:bCs/>
                                <w:lang w:val="en-IN" w:eastAsia="en-IN"/>
                              </w:rPr>
                              <w:t xml:space="preserve">Band 2 </w:t>
                            </w:r>
                            <w:r w:rsidRPr="0078373A">
                              <w:rPr>
                                <w:lang w:val="en-IN" w:eastAsia="en-IN"/>
                              </w:rPr>
                              <w:t>for Capital Markets: Debt by Chambers &amp; Partners Asia Pacific, 2023-2</w:t>
                            </w:r>
                            <w:r w:rsidR="001B2925">
                              <w:rPr>
                                <w:lang w:val="en-IN" w:eastAsia="en-IN"/>
                              </w:rPr>
                              <w:t>6</w:t>
                            </w:r>
                          </w:p>
                          <w:p w14:paraId="72C81BD4" w14:textId="7CF126C7" w:rsidR="0078373A" w:rsidRPr="00B3181E" w:rsidRDefault="0078373A" w:rsidP="00B3181E">
                            <w:pPr>
                              <w:pStyle w:val="BoxBullet"/>
                              <w:rPr>
                                <w:lang w:val="en-IN" w:eastAsia="en-IN"/>
                              </w:rPr>
                            </w:pPr>
                            <w:r w:rsidRPr="0078373A">
                              <w:rPr>
                                <w:b/>
                                <w:bCs/>
                                <w:lang w:val="en-IN" w:eastAsia="en-IN"/>
                              </w:rPr>
                              <w:t>Lawyer of the Year</w:t>
                            </w:r>
                            <w:r w:rsidRPr="0078373A">
                              <w:rPr>
                                <w:lang w:val="en-IN" w:eastAsia="en-IN"/>
                              </w:rPr>
                              <w:t xml:space="preserve"> for Capital Markets by Legal 500 India Awards 2024</w:t>
                            </w:r>
                          </w:p>
                          <w:p w14:paraId="01E08B61" w14:textId="36BE7111" w:rsidR="0078373A" w:rsidRPr="0078373A" w:rsidRDefault="0078373A" w:rsidP="0078373A">
                            <w:pPr>
                              <w:pStyle w:val="BoxBullet"/>
                              <w:rPr>
                                <w:lang w:val="en-IN" w:eastAsia="en-IN"/>
                              </w:rPr>
                            </w:pPr>
                            <w:r w:rsidRPr="0078373A">
                              <w:rPr>
                                <w:b/>
                                <w:bCs/>
                                <w:lang w:val="en-IN" w:eastAsia="en-IN"/>
                              </w:rPr>
                              <w:t>Market Leader</w:t>
                            </w:r>
                            <w:r w:rsidRPr="0078373A">
                              <w:rPr>
                                <w:lang w:val="en-IN" w:eastAsia="en-IN"/>
                              </w:rPr>
                              <w:t xml:space="preserve"> for Capital Markets: Debt, Capital Markets: Equity by IFLR1000 Asia Pacific Rankings, 2023</w:t>
                            </w:r>
                            <w:r w:rsidR="005251A5">
                              <w:rPr>
                                <w:lang w:val="en-IN" w:eastAsia="en-IN"/>
                              </w:rPr>
                              <w:t>-25</w:t>
                            </w:r>
                          </w:p>
                          <w:p w14:paraId="1E4FC95A" w14:textId="77777777" w:rsidR="0078373A" w:rsidRPr="0078373A" w:rsidRDefault="0078373A" w:rsidP="0078373A">
                            <w:pPr>
                              <w:pStyle w:val="BoxBullet"/>
                              <w:rPr>
                                <w:lang w:val="en-IN" w:eastAsia="en-IN"/>
                              </w:rPr>
                            </w:pPr>
                            <w:r w:rsidRPr="0078373A">
                              <w:rPr>
                                <w:b/>
                                <w:bCs/>
                                <w:lang w:val="en-IN" w:eastAsia="en-IN"/>
                              </w:rPr>
                              <w:t>Leading Lawyer Champions</w:t>
                            </w:r>
                            <w:r w:rsidRPr="0078373A">
                              <w:rPr>
                                <w:lang w:val="en-IN" w:eastAsia="en-IN"/>
                              </w:rPr>
                              <w:t xml:space="preserve"> for Capital Markets at the Legal Era Awards, 2023</w:t>
                            </w:r>
                          </w:p>
                          <w:p w14:paraId="069D69AA" w14:textId="4F2196E1" w:rsidR="0078373A" w:rsidRPr="0078373A" w:rsidRDefault="0078373A" w:rsidP="0078373A">
                            <w:pPr>
                              <w:pStyle w:val="BoxBullet"/>
                              <w:rPr>
                                <w:lang w:val="en-IN" w:eastAsia="en-IN"/>
                              </w:rPr>
                            </w:pPr>
                            <w:r w:rsidRPr="0078373A">
                              <w:rPr>
                                <w:b/>
                                <w:bCs/>
                                <w:lang w:val="en-IN" w:eastAsia="en-IN"/>
                              </w:rPr>
                              <w:t xml:space="preserve">Band 1 </w:t>
                            </w:r>
                            <w:r w:rsidRPr="0078373A">
                              <w:rPr>
                                <w:lang w:val="en-IN" w:eastAsia="en-IN"/>
                              </w:rPr>
                              <w:t>in Capital Market: Equity 2023-2</w:t>
                            </w:r>
                            <w:r w:rsidR="00B043B8">
                              <w:rPr>
                                <w:lang w:val="en-IN" w:eastAsia="en-IN"/>
                              </w:rPr>
                              <w:t>6</w:t>
                            </w:r>
                            <w:r w:rsidRPr="0078373A">
                              <w:rPr>
                                <w:lang w:val="en-IN" w:eastAsia="en-IN"/>
                              </w:rPr>
                              <w:t xml:space="preserve">, and </w:t>
                            </w:r>
                            <w:r w:rsidRPr="0078373A">
                              <w:rPr>
                                <w:b/>
                                <w:bCs/>
                                <w:lang w:val="en-IN" w:eastAsia="en-IN"/>
                              </w:rPr>
                              <w:t>Band 2</w:t>
                            </w:r>
                            <w:r w:rsidRPr="0078373A">
                              <w:rPr>
                                <w:lang w:val="en-IN" w:eastAsia="en-IN"/>
                              </w:rPr>
                              <w:t xml:space="preserve"> in Capital Market: Debt by Chambers &amp; Partners Global, 2023-2</w:t>
                            </w:r>
                            <w:r w:rsidR="00B043B8">
                              <w:rPr>
                                <w:lang w:val="en-IN" w:eastAsia="en-IN"/>
                              </w:rPr>
                              <w:t>6</w:t>
                            </w:r>
                          </w:p>
                          <w:p w14:paraId="5FEB5B86" w14:textId="77777777" w:rsidR="0078373A" w:rsidRPr="0078373A" w:rsidRDefault="0078373A" w:rsidP="0078373A">
                            <w:pPr>
                              <w:pStyle w:val="BoxBullet"/>
                              <w:rPr>
                                <w:lang w:val="en-IN" w:eastAsia="en-IN"/>
                              </w:rPr>
                            </w:pPr>
                            <w:r w:rsidRPr="0078373A">
                              <w:rPr>
                                <w:b/>
                                <w:bCs/>
                                <w:lang w:val="en-IN" w:eastAsia="en-IN"/>
                              </w:rPr>
                              <w:t xml:space="preserve">“ET 40 under forty” </w:t>
                            </w:r>
                            <w:r w:rsidRPr="0078373A">
                              <w:rPr>
                                <w:lang w:val="en-IN" w:eastAsia="en-IN"/>
                              </w:rPr>
                              <w:t>by The Economic Times, 2019</w:t>
                            </w:r>
                          </w:p>
                          <w:p w14:paraId="6323096E" w14:textId="77777777" w:rsidR="0078373A" w:rsidRPr="0078373A" w:rsidRDefault="0078373A" w:rsidP="0078373A">
                            <w:pPr>
                              <w:pStyle w:val="BoxBullet"/>
                              <w:rPr>
                                <w:lang w:val="en-IN" w:eastAsia="en-IN"/>
                              </w:rPr>
                            </w:pPr>
                            <w:r w:rsidRPr="002022BD">
                              <w:rPr>
                                <w:b/>
                                <w:bCs/>
                                <w:lang w:val="en-IN" w:eastAsia="en-IN"/>
                              </w:rPr>
                              <w:t>Asia Top 15 Capital Markets Lawyers</w:t>
                            </w:r>
                            <w:r w:rsidRPr="0078373A">
                              <w:rPr>
                                <w:lang w:val="en-IN" w:eastAsia="en-IN"/>
                              </w:rPr>
                              <w:t xml:space="preserve"> by Asian Legal Business 2022</w:t>
                            </w:r>
                          </w:p>
                          <w:p w14:paraId="5B9EDD04" w14:textId="77777777" w:rsidR="0078373A" w:rsidRPr="0078373A" w:rsidRDefault="0078373A" w:rsidP="0078373A">
                            <w:pPr>
                              <w:pStyle w:val="BoxBullet"/>
                              <w:rPr>
                                <w:lang w:val="en-IN" w:eastAsia="en-IN"/>
                              </w:rPr>
                            </w:pPr>
                            <w:r w:rsidRPr="0078373A">
                              <w:rPr>
                                <w:b/>
                                <w:bCs/>
                                <w:lang w:val="en-IN" w:eastAsia="en-IN"/>
                              </w:rPr>
                              <w:t>Global Elite Thought Leader</w:t>
                            </w:r>
                            <w:r w:rsidRPr="0078373A">
                              <w:rPr>
                                <w:lang w:val="en-IN" w:eastAsia="en-IN"/>
                              </w:rPr>
                              <w:t xml:space="preserve"> for Capital Markets &amp; </w:t>
                            </w:r>
                            <w:r w:rsidRPr="0078373A">
                              <w:rPr>
                                <w:b/>
                                <w:bCs/>
                                <w:lang w:val="en-IN" w:eastAsia="en-IN"/>
                              </w:rPr>
                              <w:t>Global Leader</w:t>
                            </w:r>
                            <w:r w:rsidRPr="0078373A">
                              <w:rPr>
                                <w:lang w:val="en-IN" w:eastAsia="en-IN"/>
                              </w:rPr>
                              <w:t xml:space="preserve"> for Capital Markets – Debt and Equity by Who’s Who Legal, 2020-22</w:t>
                            </w:r>
                          </w:p>
                          <w:p w14:paraId="7891D29E" w14:textId="77777777" w:rsidR="0078373A" w:rsidRPr="0078373A" w:rsidRDefault="0078373A" w:rsidP="0078373A">
                            <w:pPr>
                              <w:pStyle w:val="BoxBullet"/>
                              <w:rPr>
                                <w:lang w:val="en-IN" w:eastAsia="en-IN"/>
                              </w:rPr>
                            </w:pPr>
                            <w:r w:rsidRPr="0078373A">
                              <w:rPr>
                                <w:b/>
                                <w:bCs/>
                                <w:lang w:val="en-IN" w:eastAsia="en-IN"/>
                              </w:rPr>
                              <w:t>Asia’s Best Lawyers</w:t>
                            </w:r>
                            <w:r w:rsidRPr="0078373A">
                              <w:rPr>
                                <w:lang w:val="en-IN" w:eastAsia="en-IN"/>
                              </w:rPr>
                              <w:t xml:space="preserve"> by IFLR for the year 2019-2021</w:t>
                            </w:r>
                          </w:p>
                          <w:p w14:paraId="0D49F462" w14:textId="77777777" w:rsidR="0078373A" w:rsidRPr="0078373A" w:rsidRDefault="0078373A" w:rsidP="0078373A">
                            <w:pPr>
                              <w:pStyle w:val="BoxBullet"/>
                              <w:rPr>
                                <w:lang w:val="en-IN" w:eastAsia="en-IN"/>
                              </w:rPr>
                            </w:pPr>
                            <w:r w:rsidRPr="0078373A">
                              <w:rPr>
                                <w:b/>
                                <w:bCs/>
                                <w:lang w:val="en-IN" w:eastAsia="en-IN"/>
                              </w:rPr>
                              <w:t>Market Leader</w:t>
                            </w:r>
                            <w:r w:rsidRPr="0078373A">
                              <w:rPr>
                                <w:lang w:val="en-IN" w:eastAsia="en-IN"/>
                              </w:rPr>
                              <w:t xml:space="preserve"> for Capital Markets by IFLR1000 - 2022</w:t>
                            </w:r>
                          </w:p>
                          <w:p w14:paraId="7BEAA15F" w14:textId="0E986228" w:rsidR="00A02FC6" w:rsidRPr="0078373A" w:rsidRDefault="0078373A" w:rsidP="0078373A">
                            <w:pPr>
                              <w:pStyle w:val="BoxBullet"/>
                              <w:rPr>
                                <w:lang w:val="en-IN" w:eastAsia="en-IN"/>
                              </w:rPr>
                            </w:pPr>
                            <w:r w:rsidRPr="0078373A">
                              <w:rPr>
                                <w:lang w:val="en-IN" w:eastAsia="en-IN"/>
                              </w:rPr>
                              <w:t xml:space="preserve">Among the </w:t>
                            </w:r>
                            <w:r w:rsidRPr="0078373A">
                              <w:rPr>
                                <w:b/>
                                <w:bCs/>
                                <w:lang w:val="en-IN" w:eastAsia="en-IN"/>
                              </w:rPr>
                              <w:t xml:space="preserve">Top 100 Individual Lawyers </w:t>
                            </w:r>
                            <w:r w:rsidRPr="0078373A">
                              <w:rPr>
                                <w:lang w:val="en-IN" w:eastAsia="en-IN"/>
                              </w:rPr>
                              <w:t>in the Forbes, India, Legal Powerlist,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5C721" id="_x0000_t202" coordsize="21600,21600" o:spt="202" path="m,l,21600r21600,l21600,xe">
                <v:stroke joinstyle="miter"/>
                <v:path gradientshapeok="t" o:connecttype="rect"/>
              </v:shapetype>
              <v:shape id="_x0000_s1029" type="#_x0000_t202" style="position:absolute;left:0;text-align:left;margin-left:24.5pt;margin-top:0;width:160.5pt;height:560.5pt;z-index:25167052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" fillcolor="#d8d8d8 [2732]" stroked="f">
                <v:textbox>
                  <w:txbxContent>
                    <w:p w14:paraId="41122CC6" w14:textId="77777777" w:rsidR="00A02FC6" w:rsidRPr="00493762" w:rsidRDefault="00A02FC6" w:rsidP="00A02FC6">
                      <w:pPr>
                        <w:pStyle w:val="Heading5"/>
                        <w:rPr>
                          <w:rFonts w:ascii="Lato" w:hAnsi="Lato" w:cs="Lato"/>
                          <w:b/>
                          <w:bCs/>
                          <w:color w:val="BC945B"/>
                        </w:rPr>
                      </w:pPr>
                      <w:r>
                        <w:t>Awards &amp; Recognitions</w:t>
                      </w:r>
                    </w:p>
                    <w:p w14:paraId="687E2858" w14:textId="77777777" w:rsidR="00B3181E" w:rsidRPr="0078373A" w:rsidRDefault="00B3181E" w:rsidP="00B3181E">
                      <w:pPr>
                        <w:pStyle w:val="BoxBullet"/>
                        <w:rPr>
                          <w:lang w:val="en-IN" w:eastAsia="en-IN"/>
                        </w:rPr>
                      </w:pPr>
                      <w:r w:rsidRPr="0078373A">
                        <w:rPr>
                          <w:b/>
                          <w:bCs/>
                          <w:lang w:val="en-IN" w:eastAsia="en-IN"/>
                        </w:rPr>
                        <w:t>Band 1</w:t>
                      </w:r>
                      <w:r w:rsidRPr="0078373A">
                        <w:rPr>
                          <w:lang w:val="en-IN" w:eastAsia="en-IN"/>
                        </w:rPr>
                        <w:t xml:space="preserve"> for Capital Markets: Equity by Chambers &amp; Partners Asia Pacific, 2017-202</w:t>
                      </w:r>
                      <w:r>
                        <w:rPr>
                          <w:lang w:val="en-IN" w:eastAsia="en-IN"/>
                        </w:rPr>
                        <w:t>6</w:t>
                      </w:r>
                    </w:p>
                    <w:p w14:paraId="352DDFE4" w14:textId="55811D2B" w:rsidR="0078373A" w:rsidRPr="0078373A" w:rsidRDefault="0078373A" w:rsidP="0078373A">
                      <w:pPr>
                        <w:pStyle w:val="BoxBullet"/>
                        <w:rPr>
                          <w:lang w:val="en-IN" w:eastAsia="en-IN"/>
                        </w:rPr>
                      </w:pPr>
                      <w:r w:rsidRPr="0078373A">
                        <w:rPr>
                          <w:b/>
                          <w:bCs/>
                          <w:lang w:val="en-IN" w:eastAsia="en-IN"/>
                        </w:rPr>
                        <w:t xml:space="preserve">Band 2 </w:t>
                      </w:r>
                      <w:r w:rsidRPr="0078373A">
                        <w:rPr>
                          <w:lang w:val="en-IN" w:eastAsia="en-IN"/>
                        </w:rPr>
                        <w:t>for Capital Markets: Debt by Chambers &amp; Partners Asia Pacific, 2023-2</w:t>
                      </w:r>
                      <w:r w:rsidR="001B2925">
                        <w:rPr>
                          <w:lang w:val="en-IN" w:eastAsia="en-IN"/>
                        </w:rPr>
                        <w:t>6</w:t>
                      </w:r>
                    </w:p>
                    <w:p w14:paraId="72C81BD4" w14:textId="7CF126C7" w:rsidR="0078373A" w:rsidRPr="00B3181E" w:rsidRDefault="0078373A" w:rsidP="00B3181E">
                      <w:pPr>
                        <w:pStyle w:val="BoxBullet"/>
                        <w:rPr>
                          <w:lang w:val="en-IN" w:eastAsia="en-IN"/>
                        </w:rPr>
                      </w:pPr>
                      <w:r w:rsidRPr="0078373A">
                        <w:rPr>
                          <w:b/>
                          <w:bCs/>
                          <w:lang w:val="en-IN" w:eastAsia="en-IN"/>
                        </w:rPr>
                        <w:t>Lawyer of the Year</w:t>
                      </w:r>
                      <w:r w:rsidRPr="0078373A">
                        <w:rPr>
                          <w:lang w:val="en-IN" w:eastAsia="en-IN"/>
                        </w:rPr>
                        <w:t xml:space="preserve"> for Capital Markets by Legal 500 India Awards 2024</w:t>
                      </w:r>
                    </w:p>
                    <w:p w14:paraId="01E08B61" w14:textId="36BE7111" w:rsidR="0078373A" w:rsidRPr="0078373A" w:rsidRDefault="0078373A" w:rsidP="0078373A">
                      <w:pPr>
                        <w:pStyle w:val="BoxBullet"/>
                        <w:rPr>
                          <w:lang w:val="en-IN" w:eastAsia="en-IN"/>
                        </w:rPr>
                      </w:pPr>
                      <w:r w:rsidRPr="0078373A">
                        <w:rPr>
                          <w:b/>
                          <w:bCs/>
                          <w:lang w:val="en-IN" w:eastAsia="en-IN"/>
                        </w:rPr>
                        <w:t>Market Leader</w:t>
                      </w:r>
                      <w:r w:rsidRPr="0078373A">
                        <w:rPr>
                          <w:lang w:val="en-IN" w:eastAsia="en-IN"/>
                        </w:rPr>
                        <w:t xml:space="preserve"> for Capital Markets: Debt, Capital Markets: Equity by IFLR1000 Asia Pacific Rankings, 2023</w:t>
                      </w:r>
                      <w:r w:rsidR="005251A5">
                        <w:rPr>
                          <w:lang w:val="en-IN" w:eastAsia="en-IN"/>
                        </w:rPr>
                        <w:t>-25</w:t>
                      </w:r>
                    </w:p>
                    <w:p w14:paraId="1E4FC95A" w14:textId="77777777" w:rsidR="0078373A" w:rsidRPr="0078373A" w:rsidRDefault="0078373A" w:rsidP="0078373A">
                      <w:pPr>
                        <w:pStyle w:val="BoxBullet"/>
                        <w:rPr>
                          <w:lang w:val="en-IN" w:eastAsia="en-IN"/>
                        </w:rPr>
                      </w:pPr>
                      <w:r w:rsidRPr="0078373A">
                        <w:rPr>
                          <w:b/>
                          <w:bCs/>
                          <w:lang w:val="en-IN" w:eastAsia="en-IN"/>
                        </w:rPr>
                        <w:t>Leading Lawyer Champions</w:t>
                      </w:r>
                      <w:r w:rsidRPr="0078373A">
                        <w:rPr>
                          <w:lang w:val="en-IN" w:eastAsia="en-IN"/>
                        </w:rPr>
                        <w:t xml:space="preserve"> for Capital Markets at the Legal Era Awards, 2023</w:t>
                      </w:r>
                    </w:p>
                    <w:p w14:paraId="069D69AA" w14:textId="4F2196E1" w:rsidR="0078373A" w:rsidRPr="0078373A" w:rsidRDefault="0078373A" w:rsidP="0078373A">
                      <w:pPr>
                        <w:pStyle w:val="BoxBullet"/>
                        <w:rPr>
                          <w:lang w:val="en-IN" w:eastAsia="en-IN"/>
                        </w:rPr>
                      </w:pPr>
                      <w:r w:rsidRPr="0078373A">
                        <w:rPr>
                          <w:b/>
                          <w:bCs/>
                          <w:lang w:val="en-IN" w:eastAsia="en-IN"/>
                        </w:rPr>
                        <w:t xml:space="preserve">Band 1 </w:t>
                      </w:r>
                      <w:r w:rsidRPr="0078373A">
                        <w:rPr>
                          <w:lang w:val="en-IN" w:eastAsia="en-IN"/>
                        </w:rPr>
                        <w:t>in Capital Market: Equity 2023-2</w:t>
                      </w:r>
                      <w:r w:rsidR="00B043B8">
                        <w:rPr>
                          <w:lang w:val="en-IN" w:eastAsia="en-IN"/>
                        </w:rPr>
                        <w:t>6</w:t>
                      </w:r>
                      <w:r w:rsidRPr="0078373A">
                        <w:rPr>
                          <w:lang w:val="en-IN" w:eastAsia="en-IN"/>
                        </w:rPr>
                        <w:t xml:space="preserve">, and </w:t>
                      </w:r>
                      <w:r w:rsidRPr="0078373A">
                        <w:rPr>
                          <w:b/>
                          <w:bCs/>
                          <w:lang w:val="en-IN" w:eastAsia="en-IN"/>
                        </w:rPr>
                        <w:t>Band 2</w:t>
                      </w:r>
                      <w:r w:rsidRPr="0078373A">
                        <w:rPr>
                          <w:lang w:val="en-IN" w:eastAsia="en-IN"/>
                        </w:rPr>
                        <w:t xml:space="preserve"> in Capital Market: Debt by Chambers &amp; Partners Global, 2023-2</w:t>
                      </w:r>
                      <w:r w:rsidR="00B043B8">
                        <w:rPr>
                          <w:lang w:val="en-IN" w:eastAsia="en-IN"/>
                        </w:rPr>
                        <w:t>6</w:t>
                      </w:r>
                    </w:p>
                    <w:p w14:paraId="5FEB5B86" w14:textId="77777777" w:rsidR="0078373A" w:rsidRPr="0078373A" w:rsidRDefault="0078373A" w:rsidP="0078373A">
                      <w:pPr>
                        <w:pStyle w:val="BoxBullet"/>
                        <w:rPr>
                          <w:lang w:val="en-IN" w:eastAsia="en-IN"/>
                        </w:rPr>
                      </w:pPr>
                      <w:r w:rsidRPr="0078373A">
                        <w:rPr>
                          <w:b/>
                          <w:bCs/>
                          <w:lang w:val="en-IN" w:eastAsia="en-IN"/>
                        </w:rPr>
                        <w:t xml:space="preserve">“ET 40 under forty” </w:t>
                      </w:r>
                      <w:r w:rsidRPr="0078373A">
                        <w:rPr>
                          <w:lang w:val="en-IN" w:eastAsia="en-IN"/>
                        </w:rPr>
                        <w:t>by The Economic Times, 2019</w:t>
                      </w:r>
                    </w:p>
                    <w:p w14:paraId="6323096E" w14:textId="77777777" w:rsidR="0078373A" w:rsidRPr="0078373A" w:rsidRDefault="0078373A" w:rsidP="0078373A">
                      <w:pPr>
                        <w:pStyle w:val="BoxBullet"/>
                        <w:rPr>
                          <w:lang w:val="en-IN" w:eastAsia="en-IN"/>
                        </w:rPr>
                      </w:pPr>
                      <w:r w:rsidRPr="002022BD">
                        <w:rPr>
                          <w:b/>
                          <w:bCs/>
                          <w:lang w:val="en-IN" w:eastAsia="en-IN"/>
                        </w:rPr>
                        <w:t>Asia Top 15 Capital Markets Lawyers</w:t>
                      </w:r>
                      <w:r w:rsidRPr="0078373A">
                        <w:rPr>
                          <w:lang w:val="en-IN" w:eastAsia="en-IN"/>
                        </w:rPr>
                        <w:t xml:space="preserve"> by Asian Legal Business 2022</w:t>
                      </w:r>
                    </w:p>
                    <w:p w14:paraId="5B9EDD04" w14:textId="77777777" w:rsidR="0078373A" w:rsidRPr="0078373A" w:rsidRDefault="0078373A" w:rsidP="0078373A">
                      <w:pPr>
                        <w:pStyle w:val="BoxBullet"/>
                        <w:rPr>
                          <w:lang w:val="en-IN" w:eastAsia="en-IN"/>
                        </w:rPr>
                      </w:pPr>
                      <w:r w:rsidRPr="0078373A">
                        <w:rPr>
                          <w:b/>
                          <w:bCs/>
                          <w:lang w:val="en-IN" w:eastAsia="en-IN"/>
                        </w:rPr>
                        <w:t>Global Elite Thought Leader</w:t>
                      </w:r>
                      <w:r w:rsidRPr="0078373A">
                        <w:rPr>
                          <w:lang w:val="en-IN" w:eastAsia="en-IN"/>
                        </w:rPr>
                        <w:t xml:space="preserve"> for Capital Markets &amp; </w:t>
                      </w:r>
                      <w:r w:rsidRPr="0078373A">
                        <w:rPr>
                          <w:b/>
                          <w:bCs/>
                          <w:lang w:val="en-IN" w:eastAsia="en-IN"/>
                        </w:rPr>
                        <w:t>Global Leader</w:t>
                      </w:r>
                      <w:r w:rsidRPr="0078373A">
                        <w:rPr>
                          <w:lang w:val="en-IN" w:eastAsia="en-IN"/>
                        </w:rPr>
                        <w:t xml:space="preserve"> for Capital Markets – Debt and Equity by Who’s Who Legal, 2020-22</w:t>
                      </w:r>
                    </w:p>
                    <w:p w14:paraId="7891D29E" w14:textId="77777777" w:rsidR="0078373A" w:rsidRPr="0078373A" w:rsidRDefault="0078373A" w:rsidP="0078373A">
                      <w:pPr>
                        <w:pStyle w:val="BoxBullet"/>
                        <w:rPr>
                          <w:lang w:val="en-IN" w:eastAsia="en-IN"/>
                        </w:rPr>
                      </w:pPr>
                      <w:r w:rsidRPr="0078373A">
                        <w:rPr>
                          <w:b/>
                          <w:bCs/>
                          <w:lang w:val="en-IN" w:eastAsia="en-IN"/>
                        </w:rPr>
                        <w:t>Asia’s Best Lawyers</w:t>
                      </w:r>
                      <w:r w:rsidRPr="0078373A">
                        <w:rPr>
                          <w:lang w:val="en-IN" w:eastAsia="en-IN"/>
                        </w:rPr>
                        <w:t xml:space="preserve"> by IFLR for the year 2019-2021</w:t>
                      </w:r>
                    </w:p>
                    <w:p w14:paraId="0D49F462" w14:textId="77777777" w:rsidR="0078373A" w:rsidRPr="0078373A" w:rsidRDefault="0078373A" w:rsidP="0078373A">
                      <w:pPr>
                        <w:pStyle w:val="BoxBullet"/>
                        <w:rPr>
                          <w:lang w:val="en-IN" w:eastAsia="en-IN"/>
                        </w:rPr>
                      </w:pPr>
                      <w:r w:rsidRPr="0078373A">
                        <w:rPr>
                          <w:b/>
                          <w:bCs/>
                          <w:lang w:val="en-IN" w:eastAsia="en-IN"/>
                        </w:rPr>
                        <w:t>Market Leader</w:t>
                      </w:r>
                      <w:r w:rsidRPr="0078373A">
                        <w:rPr>
                          <w:lang w:val="en-IN" w:eastAsia="en-IN"/>
                        </w:rPr>
                        <w:t xml:space="preserve"> for Capital Markets by IFLR1000 - 2022</w:t>
                      </w:r>
                    </w:p>
                    <w:p w14:paraId="7BEAA15F" w14:textId="0E986228" w:rsidR="00A02FC6" w:rsidRPr="0078373A" w:rsidRDefault="0078373A" w:rsidP="0078373A">
                      <w:pPr>
                        <w:pStyle w:val="BoxBullet"/>
                        <w:rPr>
                          <w:lang w:val="en-IN" w:eastAsia="en-IN"/>
                        </w:rPr>
                      </w:pPr>
                      <w:r w:rsidRPr="0078373A">
                        <w:rPr>
                          <w:lang w:val="en-IN" w:eastAsia="en-IN"/>
                        </w:rPr>
                        <w:t xml:space="preserve">Among the </w:t>
                      </w:r>
                      <w:r w:rsidRPr="0078373A">
                        <w:rPr>
                          <w:b/>
                          <w:bCs/>
                          <w:lang w:val="en-IN" w:eastAsia="en-IN"/>
                        </w:rPr>
                        <w:t xml:space="preserve">Top 100 Individual Lawyers </w:t>
                      </w:r>
                      <w:r w:rsidRPr="0078373A">
                        <w:rPr>
                          <w:lang w:val="en-IN" w:eastAsia="en-IN"/>
                        </w:rPr>
                        <w:t>in the Forbes, India, Legal Powerlist, 2020</w:t>
                      </w:r>
                    </w:p>
                  </w:txbxContent>
                </v:textbox>
                <w10:wrap type="square" anchorx="margin"/>
                <w10:anchorlock/>
              </v:shape>
            </w:pict>
          </mc:Fallback>
        </mc:AlternateContent>
      </w:r>
      <w:r w:rsidRPr="00E92461">
        <w:t xml:space="preserve">SBI Cards and Payment Services, SAMHI Hotels, Shree Cement Limited, Sula Vineyards, Network18/TV18, TCNS Clothing, Vedanta, UTI Asset Management, Vishal Mega Mart, Yes Bank and Zomato. </w:t>
      </w:r>
    </w:p>
    <w:p w14:paraId="60B13B93" w14:textId="77777777" w:rsidR="00A02FC6" w:rsidRPr="00E92461" w:rsidRDefault="00A02FC6" w:rsidP="00A02FC6">
      <w:pPr>
        <w:pStyle w:val="NoSpacing"/>
      </w:pPr>
    </w:p>
    <w:p w14:paraId="0A4753C4" w14:textId="77777777" w:rsidR="00A02FC6" w:rsidRPr="00E92461" w:rsidRDefault="00A02FC6" w:rsidP="00A02FC6">
      <w:pPr>
        <w:pStyle w:val="NoSpacing"/>
      </w:pPr>
      <w:r w:rsidRPr="00E92461">
        <w:t>He received his Bachelor of Arts degree in Jurisprudence and his Master of Arts degree in Jurisprudence from the University of Oxford, England, and his Bachelor of Commerce degree from the Shri Ram College of Commerce, University of Delhi.</w:t>
      </w:r>
    </w:p>
    <w:p w14:paraId="6D65461D" w14:textId="77777777" w:rsidR="00A02FC6" w:rsidRDefault="00A02FC6" w:rsidP="00A02FC6">
      <w:pPr>
        <w:pStyle w:val="NoSpacing"/>
        <w:rPr>
          <w:b/>
          <w:bCs/>
        </w:rPr>
      </w:pPr>
    </w:p>
    <w:p w14:paraId="613FC46A" w14:textId="77777777" w:rsidR="00A02FC6" w:rsidRPr="004C771D" w:rsidRDefault="00A02FC6" w:rsidP="00A02FC6">
      <w:pPr>
        <w:pStyle w:val="NoSpacing"/>
      </w:pPr>
      <w:r w:rsidRPr="004C7A0F">
        <w:rPr>
          <w:i/>
          <w:iCs/>
        </w:rPr>
        <w:t>Prashant in some ways is the most versatile lawyer, he can do debt and equity. Prashant is one of the rare guys who has made a reputation and is credible in both debt and equity</w:t>
      </w:r>
      <w:r w:rsidRPr="004C771D">
        <w:t>.</w:t>
      </w:r>
    </w:p>
    <w:p w14:paraId="665EF657" w14:textId="77777777" w:rsidR="00A02FC6" w:rsidRDefault="00A02FC6" w:rsidP="00A02FC6">
      <w:pPr>
        <w:pStyle w:val="NoSpacing"/>
      </w:pPr>
      <w:r w:rsidRPr="004C771D">
        <w:t>– Chambers Asia Pacific Guide 2025</w:t>
      </w:r>
    </w:p>
    <w:p w14:paraId="641D4DA8" w14:textId="77777777" w:rsidR="00A02FC6" w:rsidRDefault="00A02FC6" w:rsidP="00A02FC6">
      <w:pPr>
        <w:pStyle w:val="NoSpacing"/>
      </w:pPr>
    </w:p>
    <w:p w14:paraId="53390F01" w14:textId="77777777" w:rsidR="00A02FC6" w:rsidRPr="004C7A0F" w:rsidRDefault="00A02FC6" w:rsidP="00A02FC6">
      <w:pPr>
        <w:pStyle w:val="NoSpacing"/>
        <w:rPr>
          <w:i/>
          <w:iCs/>
        </w:rPr>
      </w:pPr>
      <w:r w:rsidRPr="004C7A0F">
        <w:rPr>
          <w:i/>
          <w:iCs/>
        </w:rPr>
        <w:t>Prashant is a fantastic partner and one of the best in the business. He’s very thoughtful in his approach. His advice is always precise, clear and actionable.</w:t>
      </w:r>
    </w:p>
    <w:p w14:paraId="4F01858F" w14:textId="77777777" w:rsidR="00A02FC6" w:rsidRDefault="00A02FC6" w:rsidP="00A02FC6">
      <w:pPr>
        <w:pStyle w:val="NoSpacing"/>
      </w:pPr>
      <w:r w:rsidRPr="00C0652E">
        <w:t>– Chambers Asia Pacific Guide 2024</w:t>
      </w:r>
    </w:p>
    <w:p w14:paraId="086DA3E2" w14:textId="77777777" w:rsidR="00A02FC6" w:rsidRDefault="00A02FC6" w:rsidP="00A02FC6">
      <w:pPr>
        <w:pStyle w:val="NoSpacing"/>
      </w:pPr>
    </w:p>
    <w:p w14:paraId="7134BBE9" w14:textId="77777777" w:rsidR="00A02FC6" w:rsidRPr="004C7A0F" w:rsidRDefault="00A02FC6" w:rsidP="00A02FC6">
      <w:pPr>
        <w:pStyle w:val="NoSpacing"/>
        <w:rPr>
          <w:i/>
          <w:iCs/>
        </w:rPr>
      </w:pPr>
      <w:r w:rsidRPr="004C7A0F">
        <w:rPr>
          <w:i/>
          <w:iCs/>
        </w:rPr>
        <w:t xml:space="preserve">Prashant Gupta is lauded by an interviewee as “a no–nonsense lawyer who cuts straight to the point, providing crisp, balanced, commercial and technically correct advice.” </w:t>
      </w:r>
    </w:p>
    <w:p w14:paraId="0F19DD4C" w14:textId="77777777" w:rsidR="00A02FC6" w:rsidRPr="00C0652E" w:rsidRDefault="00A02FC6" w:rsidP="00A02FC6">
      <w:pPr>
        <w:pStyle w:val="NoSpacing"/>
      </w:pPr>
      <w:r w:rsidRPr="00C0652E">
        <w:t>– Chambers Asia Pacific Guide 2020</w:t>
      </w:r>
    </w:p>
    <w:p w14:paraId="729F7B43" w14:textId="77777777" w:rsidR="00B7031A" w:rsidRDefault="00B7031A" w:rsidP="00B7031A">
      <w:pPr>
        <w:pStyle w:val="NoSpacing"/>
        <w:rPr>
          <w:color w:val="000000" w:themeColor="text1"/>
        </w:rPr>
      </w:pPr>
    </w:p>
    <w:p w14:paraId="6B48B68B" w14:textId="77777777" w:rsidR="00B7031A" w:rsidRDefault="00B7031A" w:rsidP="00B7031A">
      <w:pPr>
        <w:pStyle w:val="BasicParagraph"/>
        <w:pBdr>
          <w:bottom w:val="single" w:sz="2" w:space="5" w:color="auto"/>
        </w:pBdr>
        <w:suppressAutoHyphens/>
        <w:spacing w:after="218"/>
        <w:jc w:val="both"/>
        <w:rPr>
          <w:rFonts w:ascii="Playfair Display" w:hAnsi="Playfair Display" w:cs="Playfair Display"/>
          <w:color w:val="002855"/>
          <w:sz w:val="22"/>
          <w:szCs w:val="22"/>
        </w:rPr>
      </w:pPr>
      <w:r>
        <w:rPr>
          <w:rFonts w:ascii="Playfair Display" w:hAnsi="Playfair Display" w:cs="Playfair Display"/>
          <w:color w:val="002855"/>
        </w:rPr>
        <w:t>Select Experience Statement</w:t>
      </w:r>
    </w:p>
    <w:p w14:paraId="5F8FE06A" w14:textId="77777777" w:rsidR="00B7031A" w:rsidRPr="00B7031A" w:rsidRDefault="00B7031A" w:rsidP="00B7031A">
      <w:pPr>
        <w:pStyle w:val="Bullet"/>
        <w:rPr>
          <w:lang w:val="en-AU" w:eastAsia="en-AU"/>
        </w:rPr>
      </w:pPr>
      <w:r w:rsidRPr="00B7031A">
        <w:rPr>
          <w:lang w:val="en-AU" w:eastAsia="en-AU"/>
        </w:rPr>
        <w:t>Underwriters on </w:t>
      </w:r>
      <w:r w:rsidRPr="00B7031A">
        <w:rPr>
          <w:b/>
          <w:bCs/>
          <w:lang w:val="en-AU" w:eastAsia="en-AU"/>
        </w:rPr>
        <w:t>Coal India Limited</w:t>
      </w:r>
      <w:r w:rsidRPr="00B7031A">
        <w:rPr>
          <w:lang w:val="en-AU" w:eastAsia="en-AU"/>
        </w:rPr>
        <w:t xml:space="preserve">’s </w:t>
      </w:r>
      <w:r w:rsidRPr="00B7031A">
        <w:rPr>
          <w:rFonts w:ascii="Arial" w:hAnsi="Arial" w:cs="Arial"/>
          <w:lang w:val="en-AU" w:eastAsia="en-AU"/>
        </w:rPr>
        <w:t>₹</w:t>
      </w:r>
      <w:r w:rsidRPr="00B7031A">
        <w:rPr>
          <w:lang w:val="en-AU" w:eastAsia="en-AU"/>
        </w:rPr>
        <w:t xml:space="preserve"> 15,475 cr IPO in 2010 – </w:t>
      </w:r>
      <w:r w:rsidRPr="00B7031A">
        <w:rPr>
          <w:i/>
          <w:iCs/>
          <w:lang w:val="en-AU" w:eastAsia="en-AU"/>
        </w:rPr>
        <w:t>the largest IPO by an Indian company.</w:t>
      </w:r>
    </w:p>
    <w:p w14:paraId="2DA12E55" w14:textId="77777777" w:rsidR="00B7031A" w:rsidRPr="00B7031A" w:rsidRDefault="00B7031A" w:rsidP="00B7031A">
      <w:pPr>
        <w:pStyle w:val="Bullet"/>
        <w:rPr>
          <w:lang w:val="en-AU" w:eastAsia="en-AU"/>
        </w:rPr>
      </w:pPr>
      <w:r w:rsidRPr="00B7031A">
        <w:rPr>
          <w:b/>
          <w:bCs/>
          <w:lang w:val="en-AU" w:eastAsia="en-AU"/>
        </w:rPr>
        <w:t>Vedanta Resources plc</w:t>
      </w:r>
      <w:r w:rsidRPr="00B7031A">
        <w:rPr>
          <w:lang w:val="en-AU" w:eastAsia="en-AU"/>
        </w:rPr>
        <w:t> on the US$ 1.7 billion bond offering in 2013 – </w:t>
      </w:r>
      <w:r w:rsidRPr="00B7031A">
        <w:rPr>
          <w:i/>
          <w:iCs/>
          <w:lang w:val="en-AU" w:eastAsia="en-AU"/>
        </w:rPr>
        <w:t>the largest bond offering by an Indian group.</w:t>
      </w:r>
    </w:p>
    <w:p w14:paraId="1B7B34F8" w14:textId="66188EB3" w:rsidR="00B7031A" w:rsidRPr="00B7031A" w:rsidRDefault="00446A77" w:rsidP="00B7031A">
      <w:pPr>
        <w:pStyle w:val="Bullet"/>
        <w:rPr>
          <w:lang w:val="en-AU" w:eastAsia="en-AU"/>
        </w:rPr>
      </w:pPr>
      <w:r>
        <w:rPr>
          <w:lang w:val="en-AU" w:eastAsia="en-AU"/>
        </w:rPr>
        <w:t>L</w:t>
      </w:r>
      <w:r w:rsidR="00B7031A" w:rsidRPr="00B7031A">
        <w:rPr>
          <w:lang w:val="en-AU" w:eastAsia="en-AU"/>
        </w:rPr>
        <w:t xml:space="preserve">ead managers in relation to the </w:t>
      </w:r>
      <w:r w:rsidR="00B7031A" w:rsidRPr="00B7031A">
        <w:rPr>
          <w:rFonts w:ascii="Arial" w:hAnsi="Arial" w:cs="Arial"/>
          <w:lang w:val="en-AU" w:eastAsia="en-AU"/>
        </w:rPr>
        <w:t>₹</w:t>
      </w:r>
      <w:r w:rsidR="00B7031A" w:rsidRPr="00B7031A">
        <w:rPr>
          <w:lang w:val="en-AU" w:eastAsia="en-AU"/>
        </w:rPr>
        <w:t xml:space="preserve"> 25,000 cr rights issue by </w:t>
      </w:r>
      <w:r w:rsidR="00B7031A" w:rsidRPr="00B7031A">
        <w:rPr>
          <w:b/>
          <w:bCs/>
          <w:lang w:val="en-AU" w:eastAsia="en-AU"/>
        </w:rPr>
        <w:t>Bharti Airtel Limited</w:t>
      </w:r>
      <w:r w:rsidR="00B7031A" w:rsidRPr="00B7031A">
        <w:rPr>
          <w:lang w:val="en-AU" w:eastAsia="en-AU"/>
        </w:rPr>
        <w:t> in 2019, and the US$ 3 billion simultaneous QIP &amp; FCCB by Bharti Airtel Limited in 2020, </w:t>
      </w:r>
      <w:r w:rsidR="00B7031A" w:rsidRPr="00B7031A">
        <w:rPr>
          <w:i/>
          <w:iCs/>
          <w:lang w:val="en-AU" w:eastAsia="en-AU"/>
        </w:rPr>
        <w:t>the largest offering in India (outside a rights issue).</w:t>
      </w:r>
    </w:p>
    <w:p w14:paraId="60ABC983" w14:textId="77777777" w:rsidR="00B7031A" w:rsidRPr="00B7031A" w:rsidRDefault="00B7031A" w:rsidP="00B7031A">
      <w:pPr>
        <w:pStyle w:val="Bullet"/>
        <w:rPr>
          <w:lang w:val="en-AU" w:eastAsia="en-AU"/>
        </w:rPr>
      </w:pPr>
      <w:r w:rsidRPr="00B7031A">
        <w:rPr>
          <w:b/>
          <w:bCs/>
          <w:lang w:val="en-AU" w:eastAsia="en-AU"/>
        </w:rPr>
        <w:t>Videocon d2h Limited</w:t>
      </w:r>
      <w:r w:rsidRPr="00B7031A">
        <w:rPr>
          <w:lang w:val="en-AU" w:eastAsia="en-AU"/>
        </w:rPr>
        <w:t> on its US$ 273 million listing on the NASDAQ Global Market in 2015 – </w:t>
      </w:r>
      <w:r w:rsidRPr="00B7031A">
        <w:rPr>
          <w:i/>
          <w:iCs/>
          <w:lang w:val="en-AU" w:eastAsia="en-AU"/>
        </w:rPr>
        <w:t>the first SPAC driven listing from India.</w:t>
      </w:r>
    </w:p>
    <w:p w14:paraId="79AE2AEA" w14:textId="66D9E13E" w:rsidR="00B7031A" w:rsidRPr="00A02FC6" w:rsidRDefault="00B7031A" w:rsidP="00A02FC6">
      <w:pPr>
        <w:pStyle w:val="Bullet"/>
        <w:rPr>
          <w:lang w:val="en-AU" w:eastAsia="en-AU"/>
        </w:rPr>
      </w:pPr>
      <w:r w:rsidRPr="00B7031A">
        <w:rPr>
          <w:lang w:val="en-AU" w:eastAsia="en-AU"/>
        </w:rPr>
        <w:t>IPOs in India by AU Small Finance Bank, Aavas Financiers, CAMS, CL Educate, DEN Networks, Dr. Lal Pathlabs, Eris Life Sciences, Hindustan Media Ventures, Indiamart, Jubilant. Foodworks, LemonTree Hotels, National Stock Exchange of India (proposed), PC Jeweller, PNB Housing Finance, Punjab &amp; Sind Bank, SBI Cards and Payment Services, S. Chand &amp; Company, TCNS Closing Co., UTI Asset Management, and Varroc Engineering, among others.</w:t>
      </w:r>
    </w:p>
    <w:p w14:paraId="29B148F2" w14:textId="39AD1BD9" w:rsidR="00B7031A" w:rsidRPr="00B7031A" w:rsidRDefault="00B7031A" w:rsidP="00B7031A">
      <w:pPr>
        <w:pStyle w:val="Bullet"/>
        <w:rPr>
          <w:lang w:val="en-AU" w:eastAsia="en-AU"/>
        </w:rPr>
      </w:pPr>
      <w:r w:rsidRPr="00B7031A">
        <w:rPr>
          <w:lang w:val="en-AU" w:eastAsia="en-AU"/>
        </w:rPr>
        <w:t>QIPs by Apollo Tyres, DLF Limited, IDFC Limited, Federal Bank, HCL Infosystems, Interglobe Aviation (Indigo Airlines), Network18, PI Industries, Punjab National Bank, PVR Limited, Radico Khaitan, State Bank of India, SRF Limited, Shree Cement and Yes Bank, among others.</w:t>
      </w:r>
    </w:p>
    <w:p w14:paraId="17A7A519" w14:textId="461D3830" w:rsidR="002E6B2D" w:rsidRPr="00A02FC6" w:rsidRDefault="00B7031A" w:rsidP="00A02FC6">
      <w:pPr>
        <w:pStyle w:val="Bullet"/>
        <w:rPr>
          <w:lang w:val="en-AU" w:eastAsia="en-AU"/>
        </w:rPr>
      </w:pPr>
      <w:r w:rsidRPr="00B7031A">
        <w:rPr>
          <w:lang w:val="en-AU" w:eastAsia="en-AU"/>
        </w:rPr>
        <w:t>IPOs in the United States by Amira Nature Foods, Azure Power, Eros International, MakeMyTrip and NW18 HSN Holdings (proposed), as well as Jubilant Energy N.V. on the London Stock Exchange.</w:t>
      </w:r>
    </w:p>
    <w:sectPr w:rsidR="002E6B2D" w:rsidRPr="00A02FC6" w:rsidSect="0077102B">
      <w:headerReference w:type="default" r:id="rId9"/>
      <w:footerReference w:type="default" r:id="rId10"/>
      <w:headerReference w:type="first" r:id="rId11"/>
      <w:footerReference w:type="first" r:id="rId12"/>
      <w:pgSz w:w="12240" w:h="15840"/>
      <w:pgMar w:top="2304" w:right="4320" w:bottom="850" w:left="8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49B1" w14:textId="77777777" w:rsidR="00ED7BED" w:rsidRDefault="00ED7BED" w:rsidP="009042A8">
      <w:pPr>
        <w:spacing w:after="0" w:line="240" w:lineRule="auto"/>
      </w:pPr>
      <w:r>
        <w:separator/>
      </w:r>
    </w:p>
  </w:endnote>
  <w:endnote w:type="continuationSeparator" w:id="0">
    <w:p w14:paraId="227EF195" w14:textId="77777777" w:rsidR="00ED7BED" w:rsidRDefault="00ED7BED" w:rsidP="0090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6E19" w14:textId="77777777" w:rsidR="004A6CAB" w:rsidRDefault="004A6CAB">
    <w:pPr>
      <w:pStyle w:val="Footer"/>
    </w:pPr>
    <w:r>
      <w:rPr>
        <w:rFonts w:ascii="Lato" w:hAnsi="Lato" w:cs="Lato"/>
        <w:noProof/>
        <w:sz w:val="18"/>
        <w:szCs w:val="18"/>
        <w:lang w:val="en-AU" w:eastAsia="en-AU"/>
      </w:rPr>
      <w:drawing>
        <wp:anchor distT="0" distB="0" distL="114300" distR="114300" simplePos="0" relativeHeight="251665408" behindDoc="0" locked="0" layoutInCell="1" allowOverlap="1" wp14:anchorId="52CDD533" wp14:editId="3D78FA57">
          <wp:simplePos x="0" y="0"/>
          <wp:positionH relativeFrom="page">
            <wp:posOffset>5676265</wp:posOffset>
          </wp:positionH>
          <wp:positionV relativeFrom="paragraph">
            <wp:posOffset>-1270</wp:posOffset>
          </wp:positionV>
          <wp:extent cx="2086753" cy="621792"/>
          <wp:effectExtent l="0" t="0" r="889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dividual-profile-below-element.w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6753" cy="6217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8BB0" w14:textId="77777777" w:rsidR="004A6CAB" w:rsidRDefault="004A6CAB">
    <w:pPr>
      <w:pStyle w:val="Footer"/>
    </w:pPr>
    <w:r>
      <w:rPr>
        <w:rFonts w:ascii="Lato" w:hAnsi="Lato" w:cs="Lato"/>
        <w:noProof/>
        <w:sz w:val="18"/>
        <w:szCs w:val="18"/>
        <w:lang w:val="en-AU" w:eastAsia="en-AU"/>
      </w:rPr>
      <w:drawing>
        <wp:anchor distT="0" distB="0" distL="114300" distR="114300" simplePos="0" relativeHeight="251663360" behindDoc="0" locked="0" layoutInCell="1" allowOverlap="1" wp14:anchorId="09FDDD5A" wp14:editId="6B217007">
          <wp:simplePos x="0" y="0"/>
          <wp:positionH relativeFrom="page">
            <wp:posOffset>5676900</wp:posOffset>
          </wp:positionH>
          <wp:positionV relativeFrom="paragraph">
            <wp:posOffset>-10795</wp:posOffset>
          </wp:positionV>
          <wp:extent cx="2086753" cy="621791"/>
          <wp:effectExtent l="0" t="0" r="889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dividual-profile-below-element.w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6753" cy="6217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7C76" w14:textId="77777777" w:rsidR="00ED7BED" w:rsidRDefault="00ED7BED" w:rsidP="009042A8">
      <w:pPr>
        <w:spacing w:after="0" w:line="240" w:lineRule="auto"/>
      </w:pPr>
      <w:r>
        <w:separator/>
      </w:r>
    </w:p>
  </w:footnote>
  <w:footnote w:type="continuationSeparator" w:id="0">
    <w:p w14:paraId="6DCD13E0" w14:textId="77777777" w:rsidR="00ED7BED" w:rsidRDefault="00ED7BED" w:rsidP="0090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CF7C" w14:textId="164D006D" w:rsidR="0077102B" w:rsidRDefault="00660522">
    <w:pPr>
      <w:pStyle w:val="Header"/>
    </w:pPr>
    <w:r w:rsidRPr="0077102B">
      <w:rPr>
        <w:noProof/>
        <w:lang w:val="en-AU" w:eastAsia="en-AU"/>
      </w:rPr>
      <w:drawing>
        <wp:anchor distT="0" distB="0" distL="114300" distR="114300" simplePos="0" relativeHeight="251669504" behindDoc="0" locked="0" layoutInCell="1" allowOverlap="1" wp14:anchorId="23161537" wp14:editId="5FFB86D9">
          <wp:simplePos x="0" y="0"/>
          <wp:positionH relativeFrom="page">
            <wp:posOffset>539750</wp:posOffset>
          </wp:positionH>
          <wp:positionV relativeFrom="page">
            <wp:align>top</wp:align>
          </wp:positionV>
          <wp:extent cx="2174400" cy="1296000"/>
          <wp:effectExtent l="0" t="0" r="0" b="0"/>
          <wp:wrapNone/>
          <wp:docPr id="1039462595" name="Picture 103946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1744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40CC" w14:textId="583B33B9" w:rsidR="0077102B" w:rsidRDefault="00660522">
    <w:pPr>
      <w:pStyle w:val="Header"/>
    </w:pPr>
    <w:r w:rsidRPr="0077102B">
      <w:rPr>
        <w:noProof/>
        <w:lang w:val="en-AU" w:eastAsia="en-AU"/>
      </w:rPr>
      <w:drawing>
        <wp:anchor distT="0" distB="0" distL="114300" distR="114300" simplePos="0" relativeHeight="251667456" behindDoc="0" locked="0" layoutInCell="1" allowOverlap="1" wp14:anchorId="723C2E20" wp14:editId="46F1D895">
          <wp:simplePos x="0" y="0"/>
          <wp:positionH relativeFrom="page">
            <wp:posOffset>539750</wp:posOffset>
          </wp:positionH>
          <wp:positionV relativeFrom="page">
            <wp:align>top</wp:align>
          </wp:positionV>
          <wp:extent cx="2174400" cy="129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174400" cy="1296000"/>
                  </a:xfrm>
                  <a:prstGeom prst="rect">
                    <a:avLst/>
                  </a:prstGeom>
                </pic:spPr>
              </pic:pic>
            </a:graphicData>
          </a:graphic>
          <wp14:sizeRelH relativeFrom="margin">
            <wp14:pctWidth>0</wp14:pctWidth>
          </wp14:sizeRelH>
          <wp14:sizeRelV relativeFrom="margin">
            <wp14:pctHeight>0</wp14:pctHeight>
          </wp14:sizeRelV>
        </wp:anchor>
      </w:drawing>
    </w:r>
    <w:r w:rsidR="0077102B" w:rsidRPr="0077102B">
      <w:rPr>
        <w:noProof/>
        <w:lang w:val="en-AU" w:eastAsia="en-AU"/>
      </w:rPr>
      <w:drawing>
        <wp:anchor distT="0" distB="0" distL="114300" distR="114300" simplePos="0" relativeHeight="251662336" behindDoc="0" locked="0" layoutInCell="1" allowOverlap="1" wp14:anchorId="1DD5D16F" wp14:editId="7C2FFE49">
          <wp:simplePos x="0" y="0"/>
          <wp:positionH relativeFrom="page">
            <wp:posOffset>-1152484</wp:posOffset>
          </wp:positionH>
          <wp:positionV relativeFrom="page">
            <wp:posOffset>213648</wp:posOffset>
          </wp:positionV>
          <wp:extent cx="10234295" cy="24047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bann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34295" cy="24047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EAE"/>
    <w:multiLevelType w:val="multilevel"/>
    <w:tmpl w:val="D68C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90A4A"/>
    <w:multiLevelType w:val="multilevel"/>
    <w:tmpl w:val="D79E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D4B77"/>
    <w:multiLevelType w:val="hybridMultilevel"/>
    <w:tmpl w:val="187EF6CC"/>
    <w:lvl w:ilvl="0" w:tplc="9D38F23A">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DD4694"/>
    <w:multiLevelType w:val="multilevel"/>
    <w:tmpl w:val="AFF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009F9"/>
    <w:multiLevelType w:val="hybridMultilevel"/>
    <w:tmpl w:val="AEB4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75AF1"/>
    <w:multiLevelType w:val="multilevel"/>
    <w:tmpl w:val="1A76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017CA"/>
    <w:multiLevelType w:val="multilevel"/>
    <w:tmpl w:val="8D4A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3B4B"/>
    <w:multiLevelType w:val="multilevel"/>
    <w:tmpl w:val="EADC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B1B4F"/>
    <w:multiLevelType w:val="multilevel"/>
    <w:tmpl w:val="C550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864D9"/>
    <w:multiLevelType w:val="hybridMultilevel"/>
    <w:tmpl w:val="BC28E8B6"/>
    <w:lvl w:ilvl="0" w:tplc="545A750C">
      <w:numFmt w:val="bullet"/>
      <w:lvlText w:val="•"/>
      <w:lvlJc w:val="left"/>
      <w:pPr>
        <w:ind w:left="720" w:hanging="360"/>
      </w:pPr>
      <w:rPr>
        <w:rFonts w:ascii="Lato" w:eastAsiaTheme="minorHAnsi" w:hAnsi="Lato" w:cs="La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8615F0"/>
    <w:multiLevelType w:val="multilevel"/>
    <w:tmpl w:val="B9BA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F55F1"/>
    <w:multiLevelType w:val="multilevel"/>
    <w:tmpl w:val="68FA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D606F0"/>
    <w:multiLevelType w:val="multilevel"/>
    <w:tmpl w:val="BD8E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84919"/>
    <w:multiLevelType w:val="multilevel"/>
    <w:tmpl w:val="2CD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8C543D"/>
    <w:multiLevelType w:val="multilevel"/>
    <w:tmpl w:val="D3AE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87A5F"/>
    <w:multiLevelType w:val="multilevel"/>
    <w:tmpl w:val="C4BA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813D2"/>
    <w:multiLevelType w:val="multilevel"/>
    <w:tmpl w:val="1CC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31D08"/>
    <w:multiLevelType w:val="multilevel"/>
    <w:tmpl w:val="F6B2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71B6B"/>
    <w:multiLevelType w:val="multilevel"/>
    <w:tmpl w:val="3CF4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47718"/>
    <w:multiLevelType w:val="multilevel"/>
    <w:tmpl w:val="4306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90B9C"/>
    <w:multiLevelType w:val="multilevel"/>
    <w:tmpl w:val="12C6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455F50"/>
    <w:multiLevelType w:val="multilevel"/>
    <w:tmpl w:val="915A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C499D"/>
    <w:multiLevelType w:val="hybridMultilevel"/>
    <w:tmpl w:val="9AA40020"/>
    <w:lvl w:ilvl="0" w:tplc="364090A8">
      <w:numFmt w:val="bullet"/>
      <w:pStyle w:val="BoxBullet"/>
      <w:lvlText w:val="•"/>
      <w:lvlJc w:val="left"/>
      <w:pPr>
        <w:ind w:left="360" w:hanging="360"/>
      </w:pPr>
      <w:rPr>
        <w:rFonts w:ascii="Lato" w:eastAsiaTheme="minorHAnsi" w:hAnsi="Lato" w:cs="Lato"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5813D0"/>
    <w:multiLevelType w:val="multilevel"/>
    <w:tmpl w:val="8F82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9680C"/>
    <w:multiLevelType w:val="multilevel"/>
    <w:tmpl w:val="A8C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A0B07"/>
    <w:multiLevelType w:val="hybridMultilevel"/>
    <w:tmpl w:val="7B1C81B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54BA2DD3"/>
    <w:multiLevelType w:val="multilevel"/>
    <w:tmpl w:val="752A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15E31"/>
    <w:multiLevelType w:val="multilevel"/>
    <w:tmpl w:val="ACA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03372"/>
    <w:multiLevelType w:val="multilevel"/>
    <w:tmpl w:val="D60C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64301"/>
    <w:multiLevelType w:val="multilevel"/>
    <w:tmpl w:val="744A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42009"/>
    <w:multiLevelType w:val="multilevel"/>
    <w:tmpl w:val="566A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EC73D4"/>
    <w:multiLevelType w:val="multilevel"/>
    <w:tmpl w:val="D970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43ADE"/>
    <w:multiLevelType w:val="multilevel"/>
    <w:tmpl w:val="18BA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C609CE"/>
    <w:multiLevelType w:val="multilevel"/>
    <w:tmpl w:val="CE24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6D2FFF"/>
    <w:multiLevelType w:val="multilevel"/>
    <w:tmpl w:val="27F69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47383652">
    <w:abstractNumId w:val="4"/>
  </w:num>
  <w:num w:numId="2" w16cid:durableId="719286160">
    <w:abstractNumId w:val="22"/>
  </w:num>
  <w:num w:numId="3" w16cid:durableId="645664026">
    <w:abstractNumId w:val="2"/>
  </w:num>
  <w:num w:numId="4" w16cid:durableId="1877427706">
    <w:abstractNumId w:val="9"/>
  </w:num>
  <w:num w:numId="5" w16cid:durableId="1408308082">
    <w:abstractNumId w:val="13"/>
  </w:num>
  <w:num w:numId="6" w16cid:durableId="409278010">
    <w:abstractNumId w:val="11"/>
  </w:num>
  <w:num w:numId="7" w16cid:durableId="1255505746">
    <w:abstractNumId w:val="32"/>
  </w:num>
  <w:num w:numId="8" w16cid:durableId="1922252578">
    <w:abstractNumId w:val="10"/>
  </w:num>
  <w:num w:numId="9" w16cid:durableId="543910904">
    <w:abstractNumId w:val="3"/>
  </w:num>
  <w:num w:numId="10" w16cid:durableId="2053455196">
    <w:abstractNumId w:val="20"/>
  </w:num>
  <w:num w:numId="11" w16cid:durableId="100104103">
    <w:abstractNumId w:val="31"/>
  </w:num>
  <w:num w:numId="12" w16cid:durableId="1043333714">
    <w:abstractNumId w:val="34"/>
  </w:num>
  <w:num w:numId="13" w16cid:durableId="1520462791">
    <w:abstractNumId w:val="21"/>
  </w:num>
  <w:num w:numId="14" w16cid:durableId="54009895">
    <w:abstractNumId w:val="15"/>
  </w:num>
  <w:num w:numId="15" w16cid:durableId="1678655770">
    <w:abstractNumId w:val="18"/>
  </w:num>
  <w:num w:numId="16" w16cid:durableId="513350718">
    <w:abstractNumId w:val="6"/>
  </w:num>
  <w:num w:numId="17" w16cid:durableId="1237328307">
    <w:abstractNumId w:val="19"/>
  </w:num>
  <w:num w:numId="18" w16cid:durableId="1782608752">
    <w:abstractNumId w:val="12"/>
  </w:num>
  <w:num w:numId="19" w16cid:durableId="1989018421">
    <w:abstractNumId w:val="1"/>
  </w:num>
  <w:num w:numId="20" w16cid:durableId="1745685450">
    <w:abstractNumId w:val="27"/>
  </w:num>
  <w:num w:numId="21" w16cid:durableId="1594321013">
    <w:abstractNumId w:val="26"/>
  </w:num>
  <w:num w:numId="22" w16cid:durableId="587350801">
    <w:abstractNumId w:val="5"/>
  </w:num>
  <w:num w:numId="23" w16cid:durableId="1597906299">
    <w:abstractNumId w:val="30"/>
  </w:num>
  <w:num w:numId="24" w16cid:durableId="1548176590">
    <w:abstractNumId w:val="7"/>
  </w:num>
  <w:num w:numId="25" w16cid:durableId="1955742996">
    <w:abstractNumId w:val="17"/>
  </w:num>
  <w:num w:numId="26" w16cid:durableId="465588042">
    <w:abstractNumId w:val="24"/>
  </w:num>
  <w:num w:numId="27" w16cid:durableId="1222130147">
    <w:abstractNumId w:val="23"/>
  </w:num>
  <w:num w:numId="28" w16cid:durableId="1678733699">
    <w:abstractNumId w:val="8"/>
  </w:num>
  <w:num w:numId="29" w16cid:durableId="973952232">
    <w:abstractNumId w:val="16"/>
  </w:num>
  <w:num w:numId="30" w16cid:durableId="251477269">
    <w:abstractNumId w:val="14"/>
  </w:num>
  <w:num w:numId="31" w16cid:durableId="547422633">
    <w:abstractNumId w:val="25"/>
  </w:num>
  <w:num w:numId="32" w16cid:durableId="466239377">
    <w:abstractNumId w:val="33"/>
  </w:num>
  <w:num w:numId="33" w16cid:durableId="1725368260">
    <w:abstractNumId w:val="0"/>
  </w:num>
  <w:num w:numId="34" w16cid:durableId="177889900">
    <w:abstractNumId w:val="28"/>
  </w:num>
  <w:num w:numId="35" w16cid:durableId="1809027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DB"/>
    <w:rsid w:val="00037DCA"/>
    <w:rsid w:val="00053422"/>
    <w:rsid w:val="00057117"/>
    <w:rsid w:val="0006414E"/>
    <w:rsid w:val="00066290"/>
    <w:rsid w:val="00080B5A"/>
    <w:rsid w:val="000A3F19"/>
    <w:rsid w:val="000C1A79"/>
    <w:rsid w:val="000F493F"/>
    <w:rsid w:val="00120B64"/>
    <w:rsid w:val="00147568"/>
    <w:rsid w:val="00153171"/>
    <w:rsid w:val="00175189"/>
    <w:rsid w:val="00180FD4"/>
    <w:rsid w:val="001925F7"/>
    <w:rsid w:val="001A73E1"/>
    <w:rsid w:val="001B2925"/>
    <w:rsid w:val="001C267B"/>
    <w:rsid w:val="001D7A70"/>
    <w:rsid w:val="001D7D86"/>
    <w:rsid w:val="001F523E"/>
    <w:rsid w:val="00200FF7"/>
    <w:rsid w:val="002022BD"/>
    <w:rsid w:val="002260C3"/>
    <w:rsid w:val="0025432A"/>
    <w:rsid w:val="002750F1"/>
    <w:rsid w:val="00286C38"/>
    <w:rsid w:val="00292BF9"/>
    <w:rsid w:val="002D32A7"/>
    <w:rsid w:val="002E6B2D"/>
    <w:rsid w:val="002F2CD7"/>
    <w:rsid w:val="003052D9"/>
    <w:rsid w:val="003421BD"/>
    <w:rsid w:val="00386A3F"/>
    <w:rsid w:val="003D2E8C"/>
    <w:rsid w:val="004134D1"/>
    <w:rsid w:val="00415584"/>
    <w:rsid w:val="0042636F"/>
    <w:rsid w:val="0043108A"/>
    <w:rsid w:val="00432143"/>
    <w:rsid w:val="00434AFA"/>
    <w:rsid w:val="00446A77"/>
    <w:rsid w:val="00464C9E"/>
    <w:rsid w:val="004738E7"/>
    <w:rsid w:val="00484097"/>
    <w:rsid w:val="0049148B"/>
    <w:rsid w:val="00493762"/>
    <w:rsid w:val="004A6CAB"/>
    <w:rsid w:val="004E47CE"/>
    <w:rsid w:val="004F25F9"/>
    <w:rsid w:val="00501FF2"/>
    <w:rsid w:val="005251A5"/>
    <w:rsid w:val="00530D31"/>
    <w:rsid w:val="005344B6"/>
    <w:rsid w:val="00565699"/>
    <w:rsid w:val="0059788A"/>
    <w:rsid w:val="005B23FB"/>
    <w:rsid w:val="005D47ED"/>
    <w:rsid w:val="005D4D58"/>
    <w:rsid w:val="005D7EAE"/>
    <w:rsid w:val="00644A4D"/>
    <w:rsid w:val="00655318"/>
    <w:rsid w:val="006578C7"/>
    <w:rsid w:val="00660522"/>
    <w:rsid w:val="00665A71"/>
    <w:rsid w:val="00701963"/>
    <w:rsid w:val="007060FC"/>
    <w:rsid w:val="0077102B"/>
    <w:rsid w:val="00772EE7"/>
    <w:rsid w:val="007818FA"/>
    <w:rsid w:val="0078230F"/>
    <w:rsid w:val="0078373A"/>
    <w:rsid w:val="007A1814"/>
    <w:rsid w:val="007B31A8"/>
    <w:rsid w:val="007B72A7"/>
    <w:rsid w:val="00816F32"/>
    <w:rsid w:val="0083038C"/>
    <w:rsid w:val="0084303A"/>
    <w:rsid w:val="008706DB"/>
    <w:rsid w:val="00871A5B"/>
    <w:rsid w:val="008A6A07"/>
    <w:rsid w:val="008B61E0"/>
    <w:rsid w:val="008E048F"/>
    <w:rsid w:val="008E5100"/>
    <w:rsid w:val="008F14C1"/>
    <w:rsid w:val="008F1633"/>
    <w:rsid w:val="009042A8"/>
    <w:rsid w:val="009A6494"/>
    <w:rsid w:val="009E16AB"/>
    <w:rsid w:val="00A02FC6"/>
    <w:rsid w:val="00A44B6A"/>
    <w:rsid w:val="00A45A87"/>
    <w:rsid w:val="00A85CFA"/>
    <w:rsid w:val="00AE0603"/>
    <w:rsid w:val="00AE16F9"/>
    <w:rsid w:val="00B043B8"/>
    <w:rsid w:val="00B05D00"/>
    <w:rsid w:val="00B3181E"/>
    <w:rsid w:val="00B5232D"/>
    <w:rsid w:val="00B61EBC"/>
    <w:rsid w:val="00B61F0C"/>
    <w:rsid w:val="00B7031A"/>
    <w:rsid w:val="00B937DF"/>
    <w:rsid w:val="00BB37D5"/>
    <w:rsid w:val="00BD6CB4"/>
    <w:rsid w:val="00BE0776"/>
    <w:rsid w:val="00C00D05"/>
    <w:rsid w:val="00C10132"/>
    <w:rsid w:val="00C31D64"/>
    <w:rsid w:val="00C44CBD"/>
    <w:rsid w:val="00C825DE"/>
    <w:rsid w:val="00CC58FE"/>
    <w:rsid w:val="00CD25CE"/>
    <w:rsid w:val="00CD68CB"/>
    <w:rsid w:val="00CE5D1D"/>
    <w:rsid w:val="00CF0F02"/>
    <w:rsid w:val="00D02984"/>
    <w:rsid w:val="00D16B0C"/>
    <w:rsid w:val="00D24C67"/>
    <w:rsid w:val="00D72647"/>
    <w:rsid w:val="00DA239E"/>
    <w:rsid w:val="00DD3A3D"/>
    <w:rsid w:val="00DF6F44"/>
    <w:rsid w:val="00E26FBE"/>
    <w:rsid w:val="00E350D0"/>
    <w:rsid w:val="00E77A1C"/>
    <w:rsid w:val="00E77D7A"/>
    <w:rsid w:val="00E82F50"/>
    <w:rsid w:val="00E86C68"/>
    <w:rsid w:val="00E90FD0"/>
    <w:rsid w:val="00E94DE8"/>
    <w:rsid w:val="00EB2C48"/>
    <w:rsid w:val="00ED7BED"/>
    <w:rsid w:val="00EF6FC2"/>
    <w:rsid w:val="00F035A6"/>
    <w:rsid w:val="00FA2D41"/>
    <w:rsid w:val="00FF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4E22D"/>
  <w15:chartTrackingRefBased/>
  <w15:docId w15:val="{22884AF6-6B74-46D4-9E1D-F91199C0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C38"/>
    <w:pPr>
      <w:outlineLvl w:val="0"/>
    </w:pPr>
    <w:rPr>
      <w:rFonts w:ascii="Playfair Display" w:hAnsi="Playfair Display"/>
      <w:b/>
      <w:color w:val="002F5F" w:themeColor="text2"/>
      <w:sz w:val="52"/>
      <w:szCs w:val="52"/>
    </w:rPr>
  </w:style>
  <w:style w:type="paragraph" w:styleId="Heading2">
    <w:name w:val="heading 2"/>
    <w:basedOn w:val="BasicParagraph"/>
    <w:next w:val="Normal"/>
    <w:link w:val="Heading2Char"/>
    <w:uiPriority w:val="9"/>
    <w:unhideWhenUsed/>
    <w:qFormat/>
    <w:rsid w:val="00286C38"/>
    <w:pPr>
      <w:outlineLvl w:val="1"/>
    </w:pPr>
    <w:rPr>
      <w:rFonts w:ascii="Lato" w:hAnsi="Lato" w:cs="Lato"/>
      <w:sz w:val="22"/>
      <w:szCs w:val="22"/>
    </w:rPr>
  </w:style>
  <w:style w:type="paragraph" w:styleId="Heading3">
    <w:name w:val="heading 3"/>
    <w:basedOn w:val="BasicParagraph"/>
    <w:next w:val="Normal"/>
    <w:link w:val="Heading3Char"/>
    <w:uiPriority w:val="9"/>
    <w:unhideWhenUsed/>
    <w:qFormat/>
    <w:rsid w:val="00286C38"/>
    <w:pPr>
      <w:suppressAutoHyphens/>
      <w:jc w:val="both"/>
      <w:outlineLvl w:val="2"/>
    </w:pPr>
    <w:rPr>
      <w:rFonts w:ascii="Lato" w:hAnsi="Lato" w:cs="Lato"/>
      <w:b/>
      <w:bCs/>
      <w:color w:val="BC945B"/>
      <w:sz w:val="22"/>
      <w:szCs w:val="22"/>
    </w:rPr>
  </w:style>
  <w:style w:type="paragraph" w:styleId="Heading4">
    <w:name w:val="heading 4"/>
    <w:basedOn w:val="BasicParagraph"/>
    <w:next w:val="Normal"/>
    <w:link w:val="Heading4Char"/>
    <w:uiPriority w:val="9"/>
    <w:unhideWhenUsed/>
    <w:qFormat/>
    <w:rsid w:val="00286C38"/>
    <w:pPr>
      <w:pBdr>
        <w:bottom w:val="single" w:sz="2" w:space="5" w:color="auto"/>
      </w:pBdr>
      <w:suppressAutoHyphens/>
      <w:spacing w:after="218"/>
      <w:jc w:val="both"/>
      <w:outlineLvl w:val="3"/>
    </w:pPr>
    <w:rPr>
      <w:rFonts w:ascii="Playfair Display" w:hAnsi="Playfair Display" w:cs="Playfair Display"/>
      <w:color w:val="002855"/>
    </w:rPr>
  </w:style>
  <w:style w:type="paragraph" w:styleId="Heading5">
    <w:name w:val="heading 5"/>
    <w:basedOn w:val="BasicParagraph"/>
    <w:next w:val="Normal"/>
    <w:link w:val="Heading5Char"/>
    <w:uiPriority w:val="9"/>
    <w:unhideWhenUsed/>
    <w:qFormat/>
    <w:rsid w:val="00816F32"/>
    <w:pPr>
      <w:pBdr>
        <w:bottom w:val="single" w:sz="2" w:space="5" w:color="auto"/>
      </w:pBdr>
      <w:suppressAutoHyphens/>
      <w:spacing w:after="57"/>
      <w:ind w:left="227" w:hanging="227"/>
      <w:outlineLvl w:val="4"/>
    </w:pPr>
    <w:rPr>
      <w:rFonts w:ascii="Playfair Display" w:hAnsi="Playfair Display" w:cs="Playfair Display"/>
      <w:color w:val="002855"/>
      <w:sz w:val="22"/>
      <w:szCs w:val="20"/>
    </w:rPr>
  </w:style>
  <w:style w:type="paragraph" w:styleId="Heading6">
    <w:name w:val="heading 6"/>
    <w:basedOn w:val="Normal"/>
    <w:next w:val="Normal"/>
    <w:link w:val="Heading6Char"/>
    <w:uiPriority w:val="9"/>
    <w:semiHidden/>
    <w:unhideWhenUsed/>
    <w:qFormat/>
    <w:rsid w:val="002E6B2D"/>
    <w:pPr>
      <w:keepNext/>
      <w:keepLines/>
      <w:spacing w:before="40" w:after="0"/>
      <w:outlineLvl w:val="5"/>
    </w:pPr>
    <w:rPr>
      <w:rFonts w:asciiTheme="majorHAnsi" w:eastAsiaTheme="majorEastAsia" w:hAnsiTheme="majorHAnsi" w:cstheme="majorBidi"/>
      <w:color w:val="0017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DB"/>
    <w:rPr>
      <w:rFonts w:ascii="Segoe UI" w:hAnsi="Segoe UI" w:cs="Segoe UI"/>
      <w:sz w:val="18"/>
      <w:szCs w:val="18"/>
    </w:rPr>
  </w:style>
  <w:style w:type="paragraph" w:customStyle="1" w:styleId="BasicParagraph">
    <w:name w:val="[Basic Paragraph]"/>
    <w:basedOn w:val="Normal"/>
    <w:uiPriority w:val="99"/>
    <w:rsid w:val="009042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904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2A8"/>
  </w:style>
  <w:style w:type="paragraph" w:styleId="Footer">
    <w:name w:val="footer"/>
    <w:basedOn w:val="Normal"/>
    <w:link w:val="FooterChar"/>
    <w:uiPriority w:val="99"/>
    <w:unhideWhenUsed/>
    <w:rsid w:val="00904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2A8"/>
  </w:style>
  <w:style w:type="character" w:customStyle="1" w:styleId="Heading1Char">
    <w:name w:val="Heading 1 Char"/>
    <w:basedOn w:val="DefaultParagraphFont"/>
    <w:link w:val="Heading1"/>
    <w:uiPriority w:val="9"/>
    <w:rsid w:val="00286C38"/>
    <w:rPr>
      <w:rFonts w:ascii="Playfair Display" w:hAnsi="Playfair Display"/>
      <w:b/>
      <w:color w:val="002F5F" w:themeColor="text2"/>
      <w:sz w:val="52"/>
      <w:szCs w:val="52"/>
    </w:rPr>
  </w:style>
  <w:style w:type="character" w:customStyle="1" w:styleId="Heading2Char">
    <w:name w:val="Heading 2 Char"/>
    <w:basedOn w:val="DefaultParagraphFont"/>
    <w:link w:val="Heading2"/>
    <w:uiPriority w:val="9"/>
    <w:rsid w:val="00286C38"/>
    <w:rPr>
      <w:rFonts w:ascii="Lato" w:hAnsi="Lato" w:cs="Lato"/>
      <w:color w:val="000000"/>
    </w:rPr>
  </w:style>
  <w:style w:type="character" w:customStyle="1" w:styleId="Heading3Char">
    <w:name w:val="Heading 3 Char"/>
    <w:basedOn w:val="DefaultParagraphFont"/>
    <w:link w:val="Heading3"/>
    <w:uiPriority w:val="9"/>
    <w:rsid w:val="00286C38"/>
    <w:rPr>
      <w:rFonts w:ascii="Lato" w:hAnsi="Lato" w:cs="Lato"/>
      <w:b/>
      <w:bCs/>
      <w:color w:val="BC945B"/>
    </w:rPr>
  </w:style>
  <w:style w:type="paragraph" w:styleId="NoSpacing">
    <w:name w:val="No Spacing"/>
    <w:aliases w:val="Body text"/>
    <w:basedOn w:val="BasicParagraph"/>
    <w:uiPriority w:val="1"/>
    <w:qFormat/>
    <w:rsid w:val="00286C38"/>
    <w:pPr>
      <w:suppressAutoHyphens/>
      <w:jc w:val="both"/>
    </w:pPr>
    <w:rPr>
      <w:rFonts w:ascii="Lato" w:hAnsi="Lato" w:cs="Lato"/>
      <w:sz w:val="18"/>
      <w:szCs w:val="18"/>
    </w:rPr>
  </w:style>
  <w:style w:type="character" w:customStyle="1" w:styleId="Heading4Char">
    <w:name w:val="Heading 4 Char"/>
    <w:basedOn w:val="DefaultParagraphFont"/>
    <w:link w:val="Heading4"/>
    <w:uiPriority w:val="9"/>
    <w:rsid w:val="00286C38"/>
    <w:rPr>
      <w:rFonts w:ascii="Playfair Display" w:hAnsi="Playfair Display" w:cs="Playfair Display"/>
      <w:color w:val="002855"/>
      <w:sz w:val="24"/>
      <w:szCs w:val="24"/>
    </w:rPr>
  </w:style>
  <w:style w:type="character" w:customStyle="1" w:styleId="Heading5Char">
    <w:name w:val="Heading 5 Char"/>
    <w:basedOn w:val="DefaultParagraphFont"/>
    <w:link w:val="Heading5"/>
    <w:uiPriority w:val="9"/>
    <w:rsid w:val="00816F32"/>
    <w:rPr>
      <w:rFonts w:ascii="Playfair Display" w:hAnsi="Playfair Display" w:cs="Playfair Display"/>
      <w:color w:val="002855"/>
      <w:szCs w:val="20"/>
    </w:rPr>
  </w:style>
  <w:style w:type="paragraph" w:customStyle="1" w:styleId="Bullet">
    <w:name w:val="Bullet"/>
    <w:basedOn w:val="BasicParagraph"/>
    <w:qFormat/>
    <w:rsid w:val="00200FF7"/>
    <w:pPr>
      <w:numPr>
        <w:numId w:val="3"/>
      </w:numPr>
      <w:suppressAutoHyphens/>
      <w:spacing w:after="109"/>
      <w:jc w:val="both"/>
    </w:pPr>
    <w:rPr>
      <w:rFonts w:ascii="Lato" w:hAnsi="Lato" w:cs="Lato"/>
      <w:sz w:val="18"/>
      <w:szCs w:val="17"/>
    </w:rPr>
  </w:style>
  <w:style w:type="paragraph" w:customStyle="1" w:styleId="BoxBullet">
    <w:name w:val="Box Bullet"/>
    <w:basedOn w:val="BasicParagraph"/>
    <w:qFormat/>
    <w:rsid w:val="004E47CE"/>
    <w:pPr>
      <w:numPr>
        <w:numId w:val="2"/>
      </w:numPr>
      <w:suppressAutoHyphens/>
      <w:spacing w:after="57"/>
      <w:ind w:left="288" w:hanging="288"/>
    </w:pPr>
    <w:rPr>
      <w:rFonts w:ascii="Lato" w:hAnsi="Lato" w:cs="Lato"/>
      <w:color w:val="auto"/>
      <w:sz w:val="18"/>
      <w:szCs w:val="17"/>
    </w:rPr>
  </w:style>
  <w:style w:type="paragraph" w:customStyle="1" w:styleId="ContactDetails">
    <w:name w:val="Contact Details"/>
    <w:rsid w:val="00BD6CB4"/>
    <w:pPr>
      <w:spacing w:after="0" w:line="240" w:lineRule="auto"/>
    </w:pPr>
    <w:rPr>
      <w:rFonts w:ascii="Arial Narrow" w:eastAsia="Times New Roman" w:hAnsi="Arial Narrow" w:cs="Times New Roman"/>
      <w:bCs/>
      <w:iCs/>
      <w:color w:val="666666"/>
      <w:sz w:val="20"/>
      <w:szCs w:val="20"/>
    </w:rPr>
  </w:style>
  <w:style w:type="character" w:customStyle="1" w:styleId="Heading6Char">
    <w:name w:val="Heading 6 Char"/>
    <w:basedOn w:val="DefaultParagraphFont"/>
    <w:link w:val="Heading6"/>
    <w:uiPriority w:val="9"/>
    <w:semiHidden/>
    <w:rsid w:val="002E6B2D"/>
    <w:rPr>
      <w:rFonts w:asciiTheme="majorHAnsi" w:eastAsiaTheme="majorEastAsia" w:hAnsiTheme="majorHAnsi" w:cstheme="majorBidi"/>
      <w:color w:val="00172F" w:themeColor="accent1" w:themeShade="7F"/>
    </w:rPr>
  </w:style>
  <w:style w:type="paragraph" w:styleId="NormalWeb">
    <w:name w:val="Normal (Web)"/>
    <w:basedOn w:val="Normal"/>
    <w:uiPriority w:val="99"/>
    <w:semiHidden/>
    <w:unhideWhenUsed/>
    <w:rsid w:val="002E6B2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2E6B2D"/>
    <w:rPr>
      <w:b/>
      <w:bCs/>
    </w:rPr>
  </w:style>
  <w:style w:type="character" w:styleId="Emphasis">
    <w:name w:val="Emphasis"/>
    <w:basedOn w:val="DefaultParagraphFont"/>
    <w:uiPriority w:val="20"/>
    <w:qFormat/>
    <w:rsid w:val="00B7031A"/>
    <w:rPr>
      <w:i/>
      <w:iCs/>
    </w:rPr>
  </w:style>
  <w:style w:type="paragraph" w:styleId="ListParagraph">
    <w:name w:val="List Paragraph"/>
    <w:aliases w:val="Level 1 Listing"/>
    <w:basedOn w:val="Normal"/>
    <w:link w:val="ListParagraphChar"/>
    <w:uiPriority w:val="34"/>
    <w:qFormat/>
    <w:rsid w:val="00A02FC6"/>
    <w:pPr>
      <w:spacing w:after="200" w:line="276" w:lineRule="auto"/>
      <w:ind w:left="720"/>
      <w:contextualSpacing/>
    </w:pPr>
    <w:rPr>
      <w:rFonts w:ascii="Calibri" w:eastAsia="Calibri" w:hAnsi="Calibri" w:cs="Times New Roman"/>
      <w:lang w:val="en-GB"/>
    </w:rPr>
  </w:style>
  <w:style w:type="character" w:customStyle="1" w:styleId="ListParagraphChar">
    <w:name w:val="List Paragraph Char"/>
    <w:aliases w:val="Level 1 Listing Char"/>
    <w:link w:val="ListParagraph"/>
    <w:uiPriority w:val="34"/>
    <w:locked/>
    <w:rsid w:val="00A02FC6"/>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1186">
      <w:bodyDiv w:val="1"/>
      <w:marLeft w:val="0"/>
      <w:marRight w:val="0"/>
      <w:marTop w:val="0"/>
      <w:marBottom w:val="0"/>
      <w:divBdr>
        <w:top w:val="none" w:sz="0" w:space="0" w:color="auto"/>
        <w:left w:val="none" w:sz="0" w:space="0" w:color="auto"/>
        <w:bottom w:val="none" w:sz="0" w:space="0" w:color="auto"/>
        <w:right w:val="none" w:sz="0" w:space="0" w:color="auto"/>
      </w:divBdr>
    </w:div>
    <w:div w:id="54160604">
      <w:bodyDiv w:val="1"/>
      <w:marLeft w:val="0"/>
      <w:marRight w:val="0"/>
      <w:marTop w:val="0"/>
      <w:marBottom w:val="0"/>
      <w:divBdr>
        <w:top w:val="none" w:sz="0" w:space="0" w:color="auto"/>
        <w:left w:val="none" w:sz="0" w:space="0" w:color="auto"/>
        <w:bottom w:val="none" w:sz="0" w:space="0" w:color="auto"/>
        <w:right w:val="none" w:sz="0" w:space="0" w:color="auto"/>
      </w:divBdr>
    </w:div>
    <w:div w:id="58946118">
      <w:bodyDiv w:val="1"/>
      <w:marLeft w:val="0"/>
      <w:marRight w:val="0"/>
      <w:marTop w:val="0"/>
      <w:marBottom w:val="0"/>
      <w:divBdr>
        <w:top w:val="none" w:sz="0" w:space="0" w:color="auto"/>
        <w:left w:val="none" w:sz="0" w:space="0" w:color="auto"/>
        <w:bottom w:val="none" w:sz="0" w:space="0" w:color="auto"/>
        <w:right w:val="none" w:sz="0" w:space="0" w:color="auto"/>
      </w:divBdr>
    </w:div>
    <w:div w:id="108747601">
      <w:bodyDiv w:val="1"/>
      <w:marLeft w:val="0"/>
      <w:marRight w:val="0"/>
      <w:marTop w:val="0"/>
      <w:marBottom w:val="0"/>
      <w:divBdr>
        <w:top w:val="none" w:sz="0" w:space="0" w:color="auto"/>
        <w:left w:val="none" w:sz="0" w:space="0" w:color="auto"/>
        <w:bottom w:val="none" w:sz="0" w:space="0" w:color="auto"/>
        <w:right w:val="none" w:sz="0" w:space="0" w:color="auto"/>
      </w:divBdr>
    </w:div>
    <w:div w:id="117797164">
      <w:bodyDiv w:val="1"/>
      <w:marLeft w:val="0"/>
      <w:marRight w:val="0"/>
      <w:marTop w:val="0"/>
      <w:marBottom w:val="0"/>
      <w:divBdr>
        <w:top w:val="none" w:sz="0" w:space="0" w:color="auto"/>
        <w:left w:val="none" w:sz="0" w:space="0" w:color="auto"/>
        <w:bottom w:val="none" w:sz="0" w:space="0" w:color="auto"/>
        <w:right w:val="none" w:sz="0" w:space="0" w:color="auto"/>
      </w:divBdr>
    </w:div>
    <w:div w:id="205064165">
      <w:bodyDiv w:val="1"/>
      <w:marLeft w:val="0"/>
      <w:marRight w:val="0"/>
      <w:marTop w:val="0"/>
      <w:marBottom w:val="0"/>
      <w:divBdr>
        <w:top w:val="none" w:sz="0" w:space="0" w:color="auto"/>
        <w:left w:val="none" w:sz="0" w:space="0" w:color="auto"/>
        <w:bottom w:val="none" w:sz="0" w:space="0" w:color="auto"/>
        <w:right w:val="none" w:sz="0" w:space="0" w:color="auto"/>
      </w:divBdr>
    </w:div>
    <w:div w:id="311907997">
      <w:bodyDiv w:val="1"/>
      <w:marLeft w:val="0"/>
      <w:marRight w:val="0"/>
      <w:marTop w:val="0"/>
      <w:marBottom w:val="0"/>
      <w:divBdr>
        <w:top w:val="none" w:sz="0" w:space="0" w:color="auto"/>
        <w:left w:val="none" w:sz="0" w:space="0" w:color="auto"/>
        <w:bottom w:val="none" w:sz="0" w:space="0" w:color="auto"/>
        <w:right w:val="none" w:sz="0" w:space="0" w:color="auto"/>
      </w:divBdr>
    </w:div>
    <w:div w:id="352997208">
      <w:bodyDiv w:val="1"/>
      <w:marLeft w:val="0"/>
      <w:marRight w:val="0"/>
      <w:marTop w:val="0"/>
      <w:marBottom w:val="0"/>
      <w:divBdr>
        <w:top w:val="none" w:sz="0" w:space="0" w:color="auto"/>
        <w:left w:val="none" w:sz="0" w:space="0" w:color="auto"/>
        <w:bottom w:val="none" w:sz="0" w:space="0" w:color="auto"/>
        <w:right w:val="none" w:sz="0" w:space="0" w:color="auto"/>
      </w:divBdr>
    </w:div>
    <w:div w:id="524901303">
      <w:bodyDiv w:val="1"/>
      <w:marLeft w:val="0"/>
      <w:marRight w:val="0"/>
      <w:marTop w:val="0"/>
      <w:marBottom w:val="0"/>
      <w:divBdr>
        <w:top w:val="none" w:sz="0" w:space="0" w:color="auto"/>
        <w:left w:val="none" w:sz="0" w:space="0" w:color="auto"/>
        <w:bottom w:val="none" w:sz="0" w:space="0" w:color="auto"/>
        <w:right w:val="none" w:sz="0" w:space="0" w:color="auto"/>
      </w:divBdr>
    </w:div>
    <w:div w:id="532690547">
      <w:bodyDiv w:val="1"/>
      <w:marLeft w:val="0"/>
      <w:marRight w:val="0"/>
      <w:marTop w:val="0"/>
      <w:marBottom w:val="0"/>
      <w:divBdr>
        <w:top w:val="none" w:sz="0" w:space="0" w:color="auto"/>
        <w:left w:val="none" w:sz="0" w:space="0" w:color="auto"/>
        <w:bottom w:val="none" w:sz="0" w:space="0" w:color="auto"/>
        <w:right w:val="none" w:sz="0" w:space="0" w:color="auto"/>
      </w:divBdr>
    </w:div>
    <w:div w:id="559906406">
      <w:bodyDiv w:val="1"/>
      <w:marLeft w:val="0"/>
      <w:marRight w:val="0"/>
      <w:marTop w:val="0"/>
      <w:marBottom w:val="0"/>
      <w:divBdr>
        <w:top w:val="none" w:sz="0" w:space="0" w:color="auto"/>
        <w:left w:val="none" w:sz="0" w:space="0" w:color="auto"/>
        <w:bottom w:val="none" w:sz="0" w:space="0" w:color="auto"/>
        <w:right w:val="none" w:sz="0" w:space="0" w:color="auto"/>
      </w:divBdr>
    </w:div>
    <w:div w:id="662319207">
      <w:bodyDiv w:val="1"/>
      <w:marLeft w:val="0"/>
      <w:marRight w:val="0"/>
      <w:marTop w:val="0"/>
      <w:marBottom w:val="0"/>
      <w:divBdr>
        <w:top w:val="none" w:sz="0" w:space="0" w:color="auto"/>
        <w:left w:val="none" w:sz="0" w:space="0" w:color="auto"/>
        <w:bottom w:val="none" w:sz="0" w:space="0" w:color="auto"/>
        <w:right w:val="none" w:sz="0" w:space="0" w:color="auto"/>
      </w:divBdr>
    </w:div>
    <w:div w:id="858810743">
      <w:bodyDiv w:val="1"/>
      <w:marLeft w:val="0"/>
      <w:marRight w:val="0"/>
      <w:marTop w:val="0"/>
      <w:marBottom w:val="0"/>
      <w:divBdr>
        <w:top w:val="none" w:sz="0" w:space="0" w:color="auto"/>
        <w:left w:val="none" w:sz="0" w:space="0" w:color="auto"/>
        <w:bottom w:val="none" w:sz="0" w:space="0" w:color="auto"/>
        <w:right w:val="none" w:sz="0" w:space="0" w:color="auto"/>
      </w:divBdr>
    </w:div>
    <w:div w:id="965815986">
      <w:bodyDiv w:val="1"/>
      <w:marLeft w:val="0"/>
      <w:marRight w:val="0"/>
      <w:marTop w:val="0"/>
      <w:marBottom w:val="0"/>
      <w:divBdr>
        <w:top w:val="none" w:sz="0" w:space="0" w:color="auto"/>
        <w:left w:val="none" w:sz="0" w:space="0" w:color="auto"/>
        <w:bottom w:val="none" w:sz="0" w:space="0" w:color="auto"/>
        <w:right w:val="none" w:sz="0" w:space="0" w:color="auto"/>
      </w:divBdr>
    </w:div>
    <w:div w:id="986006665">
      <w:bodyDiv w:val="1"/>
      <w:marLeft w:val="0"/>
      <w:marRight w:val="0"/>
      <w:marTop w:val="0"/>
      <w:marBottom w:val="0"/>
      <w:divBdr>
        <w:top w:val="none" w:sz="0" w:space="0" w:color="auto"/>
        <w:left w:val="none" w:sz="0" w:space="0" w:color="auto"/>
        <w:bottom w:val="none" w:sz="0" w:space="0" w:color="auto"/>
        <w:right w:val="none" w:sz="0" w:space="0" w:color="auto"/>
      </w:divBdr>
    </w:div>
    <w:div w:id="1313221134">
      <w:bodyDiv w:val="1"/>
      <w:marLeft w:val="0"/>
      <w:marRight w:val="0"/>
      <w:marTop w:val="0"/>
      <w:marBottom w:val="0"/>
      <w:divBdr>
        <w:top w:val="none" w:sz="0" w:space="0" w:color="auto"/>
        <w:left w:val="none" w:sz="0" w:space="0" w:color="auto"/>
        <w:bottom w:val="none" w:sz="0" w:space="0" w:color="auto"/>
        <w:right w:val="none" w:sz="0" w:space="0" w:color="auto"/>
      </w:divBdr>
    </w:div>
    <w:div w:id="1448425184">
      <w:bodyDiv w:val="1"/>
      <w:marLeft w:val="0"/>
      <w:marRight w:val="0"/>
      <w:marTop w:val="0"/>
      <w:marBottom w:val="0"/>
      <w:divBdr>
        <w:top w:val="none" w:sz="0" w:space="0" w:color="auto"/>
        <w:left w:val="none" w:sz="0" w:space="0" w:color="auto"/>
        <w:bottom w:val="none" w:sz="0" w:space="0" w:color="auto"/>
        <w:right w:val="none" w:sz="0" w:space="0" w:color="auto"/>
      </w:divBdr>
    </w:div>
    <w:div w:id="1571039717">
      <w:bodyDiv w:val="1"/>
      <w:marLeft w:val="0"/>
      <w:marRight w:val="0"/>
      <w:marTop w:val="0"/>
      <w:marBottom w:val="0"/>
      <w:divBdr>
        <w:top w:val="none" w:sz="0" w:space="0" w:color="auto"/>
        <w:left w:val="none" w:sz="0" w:space="0" w:color="auto"/>
        <w:bottom w:val="none" w:sz="0" w:space="0" w:color="auto"/>
        <w:right w:val="none" w:sz="0" w:space="0" w:color="auto"/>
      </w:divBdr>
    </w:div>
    <w:div w:id="1735084882">
      <w:bodyDiv w:val="1"/>
      <w:marLeft w:val="0"/>
      <w:marRight w:val="0"/>
      <w:marTop w:val="0"/>
      <w:marBottom w:val="0"/>
      <w:divBdr>
        <w:top w:val="none" w:sz="0" w:space="0" w:color="auto"/>
        <w:left w:val="none" w:sz="0" w:space="0" w:color="auto"/>
        <w:bottom w:val="none" w:sz="0" w:space="0" w:color="auto"/>
        <w:right w:val="none" w:sz="0" w:space="0" w:color="auto"/>
      </w:divBdr>
      <w:divsChild>
        <w:div w:id="1328249997">
          <w:marLeft w:val="0"/>
          <w:marRight w:val="0"/>
          <w:marTop w:val="0"/>
          <w:marBottom w:val="225"/>
          <w:divBdr>
            <w:top w:val="none" w:sz="0" w:space="0" w:color="auto"/>
            <w:left w:val="none" w:sz="0" w:space="0" w:color="auto"/>
            <w:bottom w:val="none" w:sz="0" w:space="0" w:color="auto"/>
            <w:right w:val="none" w:sz="0" w:space="0" w:color="auto"/>
          </w:divBdr>
          <w:divsChild>
            <w:div w:id="7031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4599">
      <w:bodyDiv w:val="1"/>
      <w:marLeft w:val="0"/>
      <w:marRight w:val="0"/>
      <w:marTop w:val="0"/>
      <w:marBottom w:val="0"/>
      <w:divBdr>
        <w:top w:val="none" w:sz="0" w:space="0" w:color="auto"/>
        <w:left w:val="none" w:sz="0" w:space="0" w:color="auto"/>
        <w:bottom w:val="none" w:sz="0" w:space="0" w:color="auto"/>
        <w:right w:val="none" w:sz="0" w:space="0" w:color="auto"/>
      </w:divBdr>
    </w:div>
    <w:div w:id="1827211201">
      <w:bodyDiv w:val="1"/>
      <w:marLeft w:val="0"/>
      <w:marRight w:val="0"/>
      <w:marTop w:val="0"/>
      <w:marBottom w:val="0"/>
      <w:divBdr>
        <w:top w:val="none" w:sz="0" w:space="0" w:color="auto"/>
        <w:left w:val="none" w:sz="0" w:space="0" w:color="auto"/>
        <w:bottom w:val="none" w:sz="0" w:space="0" w:color="auto"/>
        <w:right w:val="none" w:sz="0" w:space="0" w:color="auto"/>
      </w:divBdr>
    </w:div>
    <w:div w:id="1838300343">
      <w:bodyDiv w:val="1"/>
      <w:marLeft w:val="0"/>
      <w:marRight w:val="0"/>
      <w:marTop w:val="0"/>
      <w:marBottom w:val="0"/>
      <w:divBdr>
        <w:top w:val="none" w:sz="0" w:space="0" w:color="auto"/>
        <w:left w:val="none" w:sz="0" w:space="0" w:color="auto"/>
        <w:bottom w:val="none" w:sz="0" w:space="0" w:color="auto"/>
        <w:right w:val="none" w:sz="0" w:space="0" w:color="auto"/>
      </w:divBdr>
    </w:div>
    <w:div w:id="1873030682">
      <w:bodyDiv w:val="1"/>
      <w:marLeft w:val="0"/>
      <w:marRight w:val="0"/>
      <w:marTop w:val="0"/>
      <w:marBottom w:val="0"/>
      <w:divBdr>
        <w:top w:val="none" w:sz="0" w:space="0" w:color="auto"/>
        <w:left w:val="none" w:sz="0" w:space="0" w:color="auto"/>
        <w:bottom w:val="none" w:sz="0" w:space="0" w:color="auto"/>
        <w:right w:val="none" w:sz="0" w:space="0" w:color="auto"/>
      </w:divBdr>
    </w:div>
    <w:div w:id="1962496945">
      <w:bodyDiv w:val="1"/>
      <w:marLeft w:val="0"/>
      <w:marRight w:val="0"/>
      <w:marTop w:val="0"/>
      <w:marBottom w:val="0"/>
      <w:divBdr>
        <w:top w:val="none" w:sz="0" w:space="0" w:color="auto"/>
        <w:left w:val="none" w:sz="0" w:space="0" w:color="auto"/>
        <w:bottom w:val="none" w:sz="0" w:space="0" w:color="auto"/>
        <w:right w:val="none" w:sz="0" w:space="0" w:color="auto"/>
      </w:divBdr>
      <w:divsChild>
        <w:div w:id="1387952263">
          <w:marLeft w:val="0"/>
          <w:marRight w:val="0"/>
          <w:marTop w:val="0"/>
          <w:marBottom w:val="225"/>
          <w:divBdr>
            <w:top w:val="none" w:sz="0" w:space="0" w:color="auto"/>
            <w:left w:val="none" w:sz="0" w:space="0" w:color="auto"/>
            <w:bottom w:val="none" w:sz="0" w:space="0" w:color="auto"/>
            <w:right w:val="none" w:sz="0" w:space="0" w:color="auto"/>
          </w:divBdr>
          <w:divsChild>
            <w:div w:id="6919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6900">
      <w:bodyDiv w:val="1"/>
      <w:marLeft w:val="0"/>
      <w:marRight w:val="0"/>
      <w:marTop w:val="0"/>
      <w:marBottom w:val="0"/>
      <w:divBdr>
        <w:top w:val="none" w:sz="0" w:space="0" w:color="auto"/>
        <w:left w:val="none" w:sz="0" w:space="0" w:color="auto"/>
        <w:bottom w:val="none" w:sz="0" w:space="0" w:color="auto"/>
        <w:right w:val="none" w:sz="0" w:space="0" w:color="auto"/>
      </w:divBdr>
    </w:div>
    <w:div w:id="199251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wmf"/></Relationships>
</file>

<file path=word/theme/theme1.xml><?xml version="1.0" encoding="utf-8"?>
<a:theme xmlns:a="http://schemas.openxmlformats.org/drawingml/2006/main" name="SAM Small">
  <a:themeElements>
    <a:clrScheme name="SAM Final Colour">
      <a:dk1>
        <a:srgbClr val="000000"/>
      </a:dk1>
      <a:lt1>
        <a:srgbClr val="FFFFFF"/>
      </a:lt1>
      <a:dk2>
        <a:srgbClr val="002F5F"/>
      </a:dk2>
      <a:lt2>
        <a:srgbClr val="EAF6FE"/>
      </a:lt2>
      <a:accent1>
        <a:srgbClr val="002F5F"/>
      </a:accent1>
      <a:accent2>
        <a:srgbClr val="B3995D"/>
      </a:accent2>
      <a:accent3>
        <a:srgbClr val="38A8E0"/>
      </a:accent3>
      <a:accent4>
        <a:srgbClr val="9B3763"/>
      </a:accent4>
      <a:accent5>
        <a:srgbClr val="52B648"/>
      </a:accent5>
      <a:accent6>
        <a:srgbClr val="C5351C"/>
      </a:accent6>
      <a:hlink>
        <a:srgbClr val="2AA9DE"/>
      </a:hlink>
      <a:folHlink>
        <a:srgbClr val="B3995D"/>
      </a:folHlink>
    </a:clrScheme>
    <a:fontScheme name="SAM &amp; Co PPT">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M Small" id="{FB315A11-DCD9-4313-AB7A-38A62044415A}" vid="{A8996CB4-8E0B-4292-86BF-6B8DEBAFD27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D0D23-3778-4BBC-B385-C336450B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Shisodia, Chitersen</dc:creator>
  <cp:keywords/>
  <dc:description/>
  <cp:lastModifiedBy>Varun, Sandeep</cp:lastModifiedBy>
  <cp:revision>73</cp:revision>
  <cp:lastPrinted>2026-02-16T09:34:00Z</cp:lastPrinted>
  <dcterms:created xsi:type="dcterms:W3CDTF">2019-10-24T12:50:00Z</dcterms:created>
  <dcterms:modified xsi:type="dcterms:W3CDTF">2026-02-16T09:34:00Z</dcterms:modified>
</cp:coreProperties>
</file>